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D9" w:rsidRPr="00501E81" w:rsidRDefault="00092BD9" w:rsidP="00092BD9">
      <w:pPr>
        <w:spacing w:before="100" w:beforeAutospacing="1" w:after="100" w:afterAutospacing="1"/>
        <w:rPr>
          <w:lang w:eastAsia="tr-TR"/>
        </w:rPr>
      </w:pPr>
      <w:r>
        <w:rPr>
          <w:noProof/>
        </w:rPr>
        <w:drawing>
          <wp:anchor distT="0" distB="0" distL="0" distR="0" simplePos="0" relativeHeight="251659264" behindDoc="1" locked="0" layoutInCell="1" allowOverlap="1">
            <wp:simplePos x="0" y="0"/>
            <wp:positionH relativeFrom="column">
              <wp:posOffset>-575310</wp:posOffset>
            </wp:positionH>
            <wp:positionV relativeFrom="paragraph">
              <wp:posOffset>149860</wp:posOffset>
            </wp:positionV>
            <wp:extent cx="970280" cy="989330"/>
            <wp:effectExtent l="0" t="0" r="1270" b="1270"/>
            <wp:wrapNone/>
            <wp:docPr id="1" name="Picture 1" descr="http://www.neu.edu.tr/neuphotodays/neu1/100logo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u.edu.tr/neuphotodays/neu1/100logoyeni.jpg"/>
                    <pic:cNvPicPr>
                      <a:picLocks noChangeAspect="1" noChangeArrowheads="1"/>
                    </pic:cNvPicPr>
                  </pic:nvPicPr>
                  <pic:blipFill>
                    <a:blip r:embed="rId6" r:link="rId7">
                      <a:extLst>
                        <a:ext uri="{28A0092B-C50C-407E-A947-70E740481C1C}">
                          <a14:useLocalDpi xmlns:a14="http://schemas.microsoft.com/office/drawing/2010/main" val="0"/>
                        </a:ext>
                      </a:extLst>
                    </a:blip>
                    <a:srcRect b="17215"/>
                    <a:stretch>
                      <a:fillRect/>
                    </a:stretch>
                  </pic:blipFill>
                  <pic:spPr bwMode="auto">
                    <a:xfrm>
                      <a:off x="0" y="0"/>
                      <a:ext cx="97028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tr-TR"/>
        </w:rPr>
        <w:tab/>
      </w:r>
      <w:r>
        <w:rPr>
          <w:lang w:eastAsia="tr-TR"/>
        </w:rPr>
        <w:tab/>
      </w:r>
    </w:p>
    <w:p w:rsidR="00092BD9" w:rsidRPr="00092BD9" w:rsidRDefault="00092BD9" w:rsidP="00092BD9">
      <w:pPr>
        <w:pStyle w:val="Title"/>
        <w:ind w:left="851" w:right="792"/>
        <w:rPr>
          <w:rFonts w:ascii="Times New Roman" w:hAnsi="Times New Roman"/>
          <w:smallCaps/>
          <w:sz w:val="28"/>
          <w:szCs w:val="28"/>
          <w14:shadow w14:blurRad="50800" w14:dist="38100" w14:dir="2700000" w14:sx="100000" w14:sy="100000" w14:kx="0" w14:ky="0" w14:algn="tl">
            <w14:srgbClr w14:val="000000">
              <w14:alpha w14:val="60000"/>
            </w14:srgbClr>
          </w14:shadow>
        </w:rPr>
      </w:pPr>
      <w:r w:rsidRPr="00092BD9">
        <w:rPr>
          <w:rFonts w:ascii="Times New Roman" w:hAnsi="Times New Roman"/>
          <w:smallCaps/>
          <w:sz w:val="28"/>
          <w:szCs w:val="28"/>
          <w14:shadow w14:blurRad="50800" w14:dist="38100" w14:dir="2700000" w14:sx="100000" w14:sy="100000" w14:kx="0" w14:ky="0" w14:algn="tl">
            <w14:srgbClr w14:val="000000">
              <w14:alpha w14:val="60000"/>
            </w14:srgbClr>
          </w14:shadow>
        </w:rPr>
        <w:t>Near East University</w:t>
      </w:r>
    </w:p>
    <w:p w:rsidR="00092BD9" w:rsidRPr="00092BD9" w:rsidRDefault="00092BD9" w:rsidP="00092BD9">
      <w:pPr>
        <w:ind w:right="792"/>
        <w:jc w:val="both"/>
        <w:rPr>
          <w:b/>
          <w:smallCaps/>
          <w:sz w:val="28"/>
          <w:szCs w:val="28"/>
          <w14:shadow w14:blurRad="50800" w14:dist="38100" w14:dir="2700000" w14:sx="100000" w14:sy="100000" w14:kx="0" w14:ky="0" w14:algn="tl">
            <w14:srgbClr w14:val="000000">
              <w14:alpha w14:val="60000"/>
            </w14:srgbClr>
          </w14:shadow>
        </w:rPr>
      </w:pPr>
      <w:r w:rsidRPr="00092BD9">
        <w:rPr>
          <w:b/>
          <w:smallCaps/>
          <w:sz w:val="28"/>
          <w:szCs w:val="28"/>
          <w14:shadow w14:blurRad="50800" w14:dist="38100" w14:dir="2700000" w14:sx="100000" w14:sy="100000" w14:kx="0" w14:ky="0" w14:algn="tl">
            <w14:srgbClr w14:val="000000">
              <w14:alpha w14:val="60000"/>
            </w14:srgbClr>
          </w14:shadow>
        </w:rPr>
        <w:t xml:space="preserve">           Faculty of Economics and Administrative Sciences</w:t>
      </w:r>
    </w:p>
    <w:p w:rsidR="00092BD9" w:rsidRPr="00092BD9" w:rsidRDefault="00092BD9" w:rsidP="00092BD9">
      <w:pPr>
        <w:ind w:left="851" w:right="792"/>
        <w:jc w:val="center"/>
        <w:rPr>
          <w:smallCaps/>
          <w:sz w:val="28"/>
          <w:szCs w:val="28"/>
          <w14:shadow w14:blurRad="50800" w14:dist="38100" w14:dir="2700000" w14:sx="100000" w14:sy="100000" w14:kx="0" w14:ky="0" w14:algn="tl">
            <w14:srgbClr w14:val="000000">
              <w14:alpha w14:val="60000"/>
            </w14:srgbClr>
          </w14:shadow>
        </w:rPr>
      </w:pPr>
    </w:p>
    <w:p w:rsidR="00092BD9" w:rsidRPr="00092BD9" w:rsidRDefault="00092BD9" w:rsidP="00092BD9">
      <w:pPr>
        <w:ind w:left="851" w:right="792"/>
        <w:jc w:val="center"/>
        <w:rPr>
          <w:b/>
          <w:smallCaps/>
          <w:sz w:val="28"/>
          <w:szCs w:val="28"/>
          <w14:shadow w14:blurRad="50800" w14:dist="38100" w14:dir="2700000" w14:sx="100000" w14:sy="100000" w14:kx="0" w14:ky="0" w14:algn="tl">
            <w14:srgbClr w14:val="000000">
              <w14:alpha w14:val="60000"/>
            </w14:srgbClr>
          </w14:shadow>
        </w:rPr>
      </w:pPr>
      <w:r>
        <w:rPr>
          <w:b/>
          <w:smallCaps/>
          <w:sz w:val="28"/>
          <w:szCs w:val="28"/>
          <w14:shadow w14:blurRad="50800" w14:dist="38100" w14:dir="2700000" w14:sx="100000" w14:sy="100000" w14:kx="0" w14:ky="0" w14:algn="tl">
            <w14:srgbClr w14:val="000000">
              <w14:alpha w14:val="60000"/>
            </w14:srgbClr>
          </w14:shadow>
        </w:rPr>
        <w:t>ACC 301</w:t>
      </w:r>
      <w:r w:rsidRPr="00092BD9">
        <w:rPr>
          <w:b/>
          <w:smallCaps/>
          <w:sz w:val="28"/>
          <w:szCs w:val="28"/>
          <w14:shadow w14:blurRad="50800" w14:dist="38100" w14:dir="2700000" w14:sx="100000" w14:sy="100000" w14:kx="0" w14:ky="0" w14:algn="tl">
            <w14:srgbClr w14:val="000000">
              <w14:alpha w14:val="60000"/>
            </w14:srgbClr>
          </w14:shadow>
        </w:rPr>
        <w:t xml:space="preserve"> </w:t>
      </w:r>
      <w:r>
        <w:rPr>
          <w:b/>
          <w:smallCaps/>
          <w:sz w:val="28"/>
          <w:szCs w:val="28"/>
          <w14:shadow w14:blurRad="50800" w14:dist="38100" w14:dir="2700000" w14:sx="100000" w14:sy="100000" w14:kx="0" w14:ky="0" w14:algn="tl">
            <w14:srgbClr w14:val="000000">
              <w14:alpha w14:val="60000"/>
            </w14:srgbClr>
          </w14:shadow>
        </w:rPr>
        <w:t>MANAGERIAL ACCOUNTING</w:t>
      </w:r>
    </w:p>
    <w:p w:rsidR="00092BD9" w:rsidRPr="00092BD9" w:rsidRDefault="00092BD9" w:rsidP="00092BD9">
      <w:pPr>
        <w:ind w:left="851" w:right="792"/>
        <w:jc w:val="center"/>
        <w:rPr>
          <w:b/>
          <w:smallCaps/>
          <w:sz w:val="28"/>
          <w:szCs w:val="28"/>
          <w14:shadow w14:blurRad="50800" w14:dist="38100" w14:dir="2700000" w14:sx="100000" w14:sy="100000" w14:kx="0" w14:ky="0" w14:algn="tl">
            <w14:srgbClr w14:val="000000">
              <w14:alpha w14:val="60000"/>
            </w14:srgbClr>
          </w14:shadow>
        </w:rPr>
      </w:pPr>
      <w:r w:rsidRPr="00092BD9">
        <w:rPr>
          <w:b/>
          <w:smallCaps/>
          <w:sz w:val="28"/>
          <w:szCs w:val="28"/>
          <w14:shadow w14:blurRad="50800" w14:dist="38100" w14:dir="2700000" w14:sx="100000" w14:sy="100000" w14:kx="0" w14:ky="0" w14:algn="tl">
            <w14:srgbClr w14:val="000000">
              <w14:alpha w14:val="60000"/>
            </w14:srgbClr>
          </w14:shadow>
        </w:rPr>
        <w:t>Course Outline</w:t>
      </w:r>
    </w:p>
    <w:p w:rsidR="00092BD9" w:rsidRDefault="00092BD9" w:rsidP="006509DF">
      <w:pPr>
        <w:contextualSpacing/>
        <w:rPr>
          <w:rFonts w:ascii="Arial" w:hAnsi="Arial" w:cs="Arial"/>
          <w:bCs/>
          <w:sz w:val="20"/>
          <w:szCs w:val="20"/>
        </w:rPr>
      </w:pPr>
    </w:p>
    <w:p w:rsidR="00092BD9" w:rsidRDefault="00092BD9" w:rsidP="006509DF">
      <w:pPr>
        <w:contextualSpacing/>
        <w:rPr>
          <w:rFonts w:ascii="Arial" w:hAnsi="Arial" w:cs="Arial"/>
          <w:bCs/>
          <w:sz w:val="20"/>
          <w:szCs w:val="20"/>
        </w:rPr>
      </w:pPr>
    </w:p>
    <w:p w:rsidR="006509DF" w:rsidRPr="00823549" w:rsidRDefault="004C68AA" w:rsidP="006509DF">
      <w:pPr>
        <w:contextualSpacing/>
        <w:rPr>
          <w:rFonts w:ascii="Arial" w:hAnsi="Arial" w:cs="Arial"/>
          <w:bCs/>
          <w:sz w:val="20"/>
          <w:szCs w:val="20"/>
        </w:rPr>
      </w:pPr>
      <w:r w:rsidRPr="00823549">
        <w:rPr>
          <w:rFonts w:ascii="Arial" w:hAnsi="Arial" w:cs="Arial"/>
          <w:bCs/>
          <w:sz w:val="20"/>
          <w:szCs w:val="20"/>
        </w:rPr>
        <w:t> </w:t>
      </w:r>
      <w:r w:rsidRPr="00823549">
        <w:rPr>
          <w:rFonts w:ascii="Arial" w:hAnsi="Arial" w:cs="Arial"/>
          <w:sz w:val="20"/>
          <w:szCs w:val="20"/>
        </w:rPr>
        <w:t> </w:t>
      </w:r>
    </w:p>
    <w:tbl>
      <w:tblPr>
        <w:tblW w:w="10349" w:type="dxa"/>
        <w:tblInd w:w="-743" w:type="dxa"/>
        <w:tblBorders>
          <w:top w:val="single" w:sz="18" w:space="0" w:color="auto"/>
          <w:left w:val="single" w:sz="18" w:space="0" w:color="auto"/>
          <w:bottom w:val="single" w:sz="18" w:space="0" w:color="auto"/>
          <w:right w:val="single" w:sz="18" w:space="0" w:color="auto"/>
          <w:insideH w:val="dotted" w:sz="8" w:space="0" w:color="auto"/>
          <w:insideV w:val="dotted" w:sz="8" w:space="0" w:color="auto"/>
        </w:tblBorders>
        <w:tblLayout w:type="fixed"/>
        <w:tblLook w:val="0000" w:firstRow="0" w:lastRow="0" w:firstColumn="0" w:lastColumn="0" w:noHBand="0" w:noVBand="0"/>
      </w:tblPr>
      <w:tblGrid>
        <w:gridCol w:w="5387"/>
        <w:gridCol w:w="4962"/>
      </w:tblGrid>
      <w:tr w:rsidR="006509DF" w:rsidRPr="00501E81" w:rsidTr="00741FFC">
        <w:trPr>
          <w:trHeight w:val="437"/>
        </w:trPr>
        <w:tc>
          <w:tcPr>
            <w:tcW w:w="5387" w:type="dxa"/>
            <w:vAlign w:val="bottom"/>
          </w:tcPr>
          <w:p w:rsidR="006509DF" w:rsidRPr="00501E81" w:rsidRDefault="006509DF" w:rsidP="006509DF">
            <w:r w:rsidRPr="00DD2AD6">
              <w:rPr>
                <w:b/>
              </w:rPr>
              <w:t>Classroom:</w:t>
            </w:r>
            <w:r w:rsidRPr="00501E81">
              <w:t xml:space="preserve"> </w:t>
            </w:r>
            <w:r>
              <w:t xml:space="preserve">D123, </w:t>
            </w:r>
          </w:p>
        </w:tc>
        <w:tc>
          <w:tcPr>
            <w:tcW w:w="4962" w:type="dxa"/>
            <w:vAlign w:val="bottom"/>
          </w:tcPr>
          <w:p w:rsidR="006509DF" w:rsidRDefault="006509DF" w:rsidP="00741FFC">
            <w:r w:rsidRPr="00DD2AD6">
              <w:rPr>
                <w:b/>
              </w:rPr>
              <w:t>Course Schedule</w:t>
            </w:r>
            <w:r w:rsidRPr="00501E81">
              <w:t xml:space="preserve">: </w:t>
            </w:r>
            <w:r>
              <w:t xml:space="preserve">Saturday </w:t>
            </w:r>
          </w:p>
          <w:p w:rsidR="006509DF" w:rsidRPr="00501E81" w:rsidRDefault="006509DF" w:rsidP="00741FFC">
            <w:r>
              <w:t xml:space="preserve">                               9:30</w:t>
            </w:r>
            <w:r w:rsidR="00BD11BB">
              <w:t>am</w:t>
            </w:r>
            <w:r>
              <w:t>-12:20</w:t>
            </w:r>
            <w:r w:rsidR="00BD11BB">
              <w:t>Pm</w:t>
            </w:r>
            <w:r>
              <w:t>,        D123</w:t>
            </w:r>
          </w:p>
        </w:tc>
      </w:tr>
      <w:tr w:rsidR="006509DF" w:rsidRPr="00501E81" w:rsidTr="00741FFC">
        <w:trPr>
          <w:trHeight w:val="437"/>
        </w:trPr>
        <w:tc>
          <w:tcPr>
            <w:tcW w:w="10349" w:type="dxa"/>
            <w:gridSpan w:val="2"/>
            <w:vAlign w:val="bottom"/>
          </w:tcPr>
          <w:p w:rsidR="006509DF" w:rsidRDefault="006509DF" w:rsidP="00741FFC"/>
          <w:p w:rsidR="006509DF" w:rsidRDefault="006509DF" w:rsidP="00741FFC">
            <w:r w:rsidRPr="00DD2AD6">
              <w:rPr>
                <w:b/>
              </w:rPr>
              <w:t>Instructor</w:t>
            </w:r>
            <w:r w:rsidRPr="00501E81">
              <w:tab/>
              <w:t xml:space="preserve">: </w:t>
            </w:r>
            <w:r w:rsidR="00E3530F">
              <w:t xml:space="preserve">Faisal </w:t>
            </w:r>
            <w:proofErr w:type="spellStart"/>
            <w:r w:rsidR="00E3530F">
              <w:t>Sher</w:t>
            </w:r>
            <w:proofErr w:type="spellEnd"/>
          </w:p>
          <w:p w:rsidR="006509DF" w:rsidRPr="00501E81" w:rsidRDefault="006509DF" w:rsidP="00741FFC"/>
          <w:p w:rsidR="006509DF" w:rsidRPr="00501E81" w:rsidRDefault="006509DF" w:rsidP="00741FFC">
            <w:pPr>
              <w:ind w:left="1452" w:hanging="1452"/>
            </w:pPr>
            <w:r w:rsidRPr="00DD2AD6">
              <w:rPr>
                <w:b/>
              </w:rPr>
              <w:t>Office Hours</w:t>
            </w:r>
            <w:r w:rsidRPr="00501E81">
              <w:tab/>
              <w:t xml:space="preserve">: </w:t>
            </w:r>
            <w:r>
              <w:t>Not Available yet</w:t>
            </w:r>
          </w:p>
          <w:p w:rsidR="006509DF" w:rsidRDefault="006509DF" w:rsidP="00741FFC">
            <w:pPr>
              <w:pStyle w:val="Heading2"/>
              <w:rPr>
                <w:rFonts w:ascii="Times New Roman" w:hAnsi="Times New Roman"/>
              </w:rPr>
            </w:pPr>
            <w:r w:rsidRPr="00501E81">
              <w:rPr>
                <w:rFonts w:ascii="Times New Roman" w:hAnsi="Times New Roman"/>
              </w:rPr>
              <w:t xml:space="preserve">E-mail: </w:t>
            </w:r>
            <w:r>
              <w:rPr>
                <w:rFonts w:ascii="Times New Roman" w:hAnsi="Times New Roman"/>
              </w:rPr>
              <w:t>faisal.faisal</w:t>
            </w:r>
            <w:r w:rsidRPr="00501E81">
              <w:rPr>
                <w:rFonts w:ascii="Times New Roman" w:hAnsi="Times New Roman"/>
              </w:rPr>
              <w:t>@neu.edu.tr</w:t>
            </w:r>
          </w:p>
          <w:p w:rsidR="006509DF" w:rsidRPr="00DD2AD6" w:rsidRDefault="006509DF" w:rsidP="00741FFC"/>
        </w:tc>
      </w:tr>
      <w:tr w:rsidR="006509DF" w:rsidRPr="00501E81" w:rsidTr="00741FFC">
        <w:trPr>
          <w:trHeight w:val="437"/>
        </w:trPr>
        <w:tc>
          <w:tcPr>
            <w:tcW w:w="10349" w:type="dxa"/>
            <w:gridSpan w:val="2"/>
            <w:vAlign w:val="bottom"/>
          </w:tcPr>
          <w:p w:rsidR="006509DF" w:rsidRDefault="006509DF" w:rsidP="00741FFC">
            <w:pPr>
              <w:ind w:left="1168" w:hanging="1168"/>
            </w:pPr>
          </w:p>
          <w:p w:rsidR="00092BD9" w:rsidRPr="00823549" w:rsidRDefault="006509DF" w:rsidP="00092BD9">
            <w:pPr>
              <w:numPr>
                <w:ilvl w:val="0"/>
                <w:numId w:val="1"/>
              </w:numPr>
              <w:contextualSpacing/>
              <w:jc w:val="both"/>
              <w:rPr>
                <w:rFonts w:ascii="Arial" w:hAnsi="Arial" w:cs="Arial"/>
                <w:bCs/>
                <w:sz w:val="20"/>
                <w:szCs w:val="20"/>
              </w:rPr>
            </w:pPr>
            <w:r w:rsidRPr="00DD2AD6">
              <w:rPr>
                <w:b/>
              </w:rPr>
              <w:t>Textbook</w:t>
            </w:r>
            <w:r w:rsidRPr="00501E81">
              <w:t xml:space="preserve">: </w:t>
            </w:r>
            <w:r w:rsidR="00092BD9" w:rsidRPr="00823549">
              <w:rPr>
                <w:rFonts w:ascii="Arial" w:hAnsi="Arial" w:cs="Arial"/>
                <w:bCs/>
                <w:sz w:val="20"/>
                <w:szCs w:val="20"/>
              </w:rPr>
              <w:t>ACCOUNTING – THE BASIS FOR BUSINESS DECISIONS –</w:t>
            </w:r>
            <w:r w:rsidR="00092BD9" w:rsidRPr="00823549">
              <w:rPr>
                <w:rFonts w:ascii="Arial" w:hAnsi="Arial" w:cs="Arial"/>
                <w:sz w:val="20"/>
                <w:szCs w:val="20"/>
              </w:rPr>
              <w:t xml:space="preserve"> </w:t>
            </w:r>
            <w:proofErr w:type="spellStart"/>
            <w:r w:rsidR="00092BD9" w:rsidRPr="00823549">
              <w:rPr>
                <w:rFonts w:ascii="Arial" w:hAnsi="Arial" w:cs="Arial"/>
                <w:bCs/>
                <w:sz w:val="20"/>
                <w:szCs w:val="20"/>
                <w:u w:val="single"/>
              </w:rPr>
              <w:t>Meigs</w:t>
            </w:r>
            <w:proofErr w:type="spellEnd"/>
            <w:r w:rsidR="00092BD9" w:rsidRPr="00823549">
              <w:rPr>
                <w:rFonts w:ascii="Arial" w:hAnsi="Arial" w:cs="Arial"/>
                <w:bCs/>
                <w:sz w:val="20"/>
                <w:szCs w:val="20"/>
                <w:u w:val="single"/>
              </w:rPr>
              <w:t xml:space="preserve">, Williams &amp; </w:t>
            </w:r>
            <w:proofErr w:type="spellStart"/>
            <w:r w:rsidR="00092BD9" w:rsidRPr="00823549">
              <w:rPr>
                <w:rFonts w:ascii="Arial" w:hAnsi="Arial" w:cs="Arial"/>
                <w:bCs/>
                <w:sz w:val="20"/>
                <w:szCs w:val="20"/>
                <w:u w:val="single"/>
              </w:rPr>
              <w:t>Haka</w:t>
            </w:r>
            <w:proofErr w:type="spellEnd"/>
            <w:r w:rsidR="00092BD9" w:rsidRPr="00823549">
              <w:rPr>
                <w:rFonts w:ascii="Arial" w:hAnsi="Arial" w:cs="Arial"/>
                <w:bCs/>
                <w:sz w:val="20"/>
                <w:szCs w:val="20"/>
              </w:rPr>
              <w:t xml:space="preserve"> (11</w:t>
            </w:r>
            <w:r w:rsidR="00092BD9" w:rsidRPr="00823549">
              <w:rPr>
                <w:rFonts w:ascii="Arial" w:hAnsi="Arial" w:cs="Arial"/>
                <w:bCs/>
                <w:sz w:val="20"/>
                <w:szCs w:val="20"/>
                <w:vertAlign w:val="superscript"/>
              </w:rPr>
              <w:t>th</w:t>
            </w:r>
            <w:r w:rsidR="00092BD9" w:rsidRPr="00823549">
              <w:rPr>
                <w:rFonts w:ascii="Arial" w:hAnsi="Arial" w:cs="Arial"/>
                <w:bCs/>
                <w:sz w:val="20"/>
                <w:szCs w:val="20"/>
              </w:rPr>
              <w:t xml:space="preserve"> Edition) Irwin McGraw Hill Publishers. </w:t>
            </w:r>
          </w:p>
          <w:p w:rsidR="00092BD9" w:rsidRPr="00823549" w:rsidRDefault="00092BD9" w:rsidP="00092BD9">
            <w:pPr>
              <w:ind w:left="360"/>
              <w:contextualSpacing/>
              <w:jc w:val="both"/>
              <w:rPr>
                <w:rFonts w:ascii="Arial" w:hAnsi="Arial" w:cs="Arial"/>
                <w:bCs/>
                <w:sz w:val="20"/>
                <w:szCs w:val="20"/>
              </w:rPr>
            </w:pPr>
          </w:p>
          <w:p w:rsidR="00092BD9" w:rsidRPr="00823549" w:rsidRDefault="00092BD9" w:rsidP="00092BD9">
            <w:pPr>
              <w:numPr>
                <w:ilvl w:val="0"/>
                <w:numId w:val="1"/>
              </w:numPr>
              <w:contextualSpacing/>
              <w:rPr>
                <w:rFonts w:ascii="Arial" w:hAnsi="Arial" w:cs="Arial"/>
                <w:bCs/>
                <w:sz w:val="20"/>
                <w:szCs w:val="20"/>
              </w:rPr>
            </w:pPr>
            <w:r w:rsidRPr="00823549">
              <w:rPr>
                <w:rFonts w:ascii="Arial" w:hAnsi="Arial" w:cs="Arial"/>
                <w:bCs/>
                <w:sz w:val="20"/>
                <w:szCs w:val="20"/>
              </w:rPr>
              <w:t xml:space="preserve">MANAGEMENT ACCOUNTING – </w:t>
            </w:r>
            <w:r w:rsidRPr="00823549">
              <w:rPr>
                <w:rFonts w:ascii="Arial" w:hAnsi="Arial" w:cs="Arial"/>
                <w:bCs/>
                <w:sz w:val="20"/>
                <w:szCs w:val="20"/>
                <w:u w:val="single"/>
              </w:rPr>
              <w:t>Robert N. Anthony</w:t>
            </w:r>
            <w:r w:rsidRPr="00823549">
              <w:rPr>
                <w:rFonts w:ascii="Arial" w:hAnsi="Arial" w:cs="Arial"/>
                <w:bCs/>
                <w:sz w:val="20"/>
                <w:szCs w:val="20"/>
              </w:rPr>
              <w:t xml:space="preserve"> (7</w:t>
            </w:r>
            <w:r w:rsidRPr="00823549">
              <w:rPr>
                <w:rFonts w:ascii="Arial" w:hAnsi="Arial" w:cs="Arial"/>
                <w:bCs/>
                <w:sz w:val="20"/>
                <w:szCs w:val="20"/>
                <w:vertAlign w:val="superscript"/>
              </w:rPr>
              <w:t>th</w:t>
            </w:r>
            <w:r w:rsidRPr="00823549">
              <w:rPr>
                <w:rFonts w:ascii="Arial" w:hAnsi="Arial" w:cs="Arial"/>
                <w:bCs/>
                <w:sz w:val="20"/>
                <w:szCs w:val="20"/>
              </w:rPr>
              <w:t xml:space="preserve"> Edition) McGraw Hills Publishers.  </w:t>
            </w:r>
          </w:p>
          <w:p w:rsidR="006509DF" w:rsidRPr="00501E81" w:rsidRDefault="006509DF" w:rsidP="00741FFC">
            <w:pPr>
              <w:ind w:left="1168" w:hanging="1168"/>
            </w:pPr>
          </w:p>
        </w:tc>
      </w:tr>
      <w:tr w:rsidR="006509DF" w:rsidRPr="00501E81" w:rsidTr="00741FFC">
        <w:trPr>
          <w:trHeight w:val="437"/>
        </w:trPr>
        <w:tc>
          <w:tcPr>
            <w:tcW w:w="10349" w:type="dxa"/>
            <w:gridSpan w:val="2"/>
            <w:vAlign w:val="bottom"/>
          </w:tcPr>
          <w:p w:rsidR="006509DF" w:rsidRDefault="006509DF" w:rsidP="00741FFC">
            <w:pPr>
              <w:ind w:left="2444" w:hanging="2444"/>
            </w:pPr>
            <w:r w:rsidRPr="00DD2AD6">
              <w:rPr>
                <w:b/>
              </w:rPr>
              <w:t>Prerequisite</w:t>
            </w:r>
            <w:r>
              <w:t xml:space="preserve">: </w:t>
            </w:r>
            <w:r w:rsidR="00092BD9">
              <w:t>Fundamentals of accounting, financial accounting</w:t>
            </w:r>
          </w:p>
          <w:p w:rsidR="006509DF" w:rsidRPr="00501E81" w:rsidRDefault="006509DF" w:rsidP="00741FFC">
            <w:pPr>
              <w:ind w:left="2444" w:hanging="2444"/>
            </w:pPr>
          </w:p>
        </w:tc>
      </w:tr>
    </w:tbl>
    <w:p w:rsidR="004C68AA" w:rsidRPr="00823549" w:rsidRDefault="004C68AA" w:rsidP="006509DF">
      <w:pPr>
        <w:contextualSpacing/>
        <w:rPr>
          <w:rFonts w:ascii="Arial" w:hAnsi="Arial" w:cs="Arial"/>
          <w:bCs/>
          <w:sz w:val="20"/>
          <w:szCs w:val="20"/>
        </w:rPr>
      </w:pPr>
      <w:r w:rsidRPr="00823549">
        <w:rPr>
          <w:rFonts w:ascii="Arial" w:hAnsi="Arial" w:cs="Arial"/>
          <w:bCs/>
          <w:sz w:val="20"/>
          <w:szCs w:val="20"/>
        </w:rPr>
        <w:t> </w:t>
      </w:r>
    </w:p>
    <w:p w:rsidR="004C68AA" w:rsidRPr="00823549" w:rsidRDefault="004C68AA" w:rsidP="004C68AA">
      <w:pPr>
        <w:contextualSpacing/>
        <w:rPr>
          <w:rFonts w:ascii="Arial" w:hAnsi="Arial" w:cs="Arial"/>
          <w:sz w:val="20"/>
          <w:szCs w:val="20"/>
          <w:u w:val="single"/>
        </w:rPr>
      </w:pPr>
      <w:r w:rsidRPr="00823549">
        <w:rPr>
          <w:rFonts w:ascii="Arial" w:hAnsi="Arial" w:cs="Arial"/>
          <w:bCs/>
          <w:sz w:val="20"/>
          <w:szCs w:val="20"/>
          <w:u w:val="single"/>
        </w:rPr>
        <w:t> </w:t>
      </w:r>
      <w:r w:rsidRPr="00823549">
        <w:rPr>
          <w:rFonts w:ascii="Arial" w:hAnsi="Arial" w:cs="Arial"/>
          <w:sz w:val="20"/>
          <w:szCs w:val="20"/>
          <w:u w:val="single"/>
        </w:rPr>
        <w:t>Course Objectives</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 </w:t>
      </w:r>
    </w:p>
    <w:p w:rsidR="004C68AA" w:rsidRPr="00823549" w:rsidRDefault="004C68AA" w:rsidP="004C68AA">
      <w:pPr>
        <w:tabs>
          <w:tab w:val="left" w:pos="-720"/>
        </w:tabs>
        <w:suppressAutoHyphens/>
        <w:contextualSpacing/>
        <w:jc w:val="both"/>
        <w:rPr>
          <w:rFonts w:ascii="Arial" w:hAnsi="Arial" w:cs="Arial"/>
          <w:bCs/>
          <w:spacing w:val="-3"/>
          <w:sz w:val="20"/>
          <w:szCs w:val="20"/>
        </w:rPr>
      </w:pPr>
      <w:r w:rsidRPr="00823549">
        <w:rPr>
          <w:rFonts w:ascii="Arial" w:hAnsi="Arial" w:cs="Arial"/>
          <w:bCs/>
          <w:sz w:val="20"/>
          <w:szCs w:val="20"/>
        </w:rPr>
        <w:tab/>
      </w:r>
      <w:r w:rsidRPr="00823549">
        <w:rPr>
          <w:rFonts w:ascii="Arial" w:hAnsi="Arial" w:cs="Arial"/>
          <w:bCs/>
          <w:spacing w:val="-3"/>
          <w:sz w:val="20"/>
          <w:szCs w:val="20"/>
        </w:rPr>
        <w:t>The course is designed for non-accounting majors. It stresses the need for and the uses of relevant accounting information by management for the purposes of controlling the costs of operation, measuring performance, planning the basic direction of the enterprise, and deciding among various alternative courses of action.</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 xml:space="preserve"> Week</w:t>
      </w:r>
      <w:r w:rsidRPr="00823549">
        <w:rPr>
          <w:rFonts w:ascii="Arial" w:hAnsi="Arial" w:cs="Arial"/>
          <w:bCs/>
          <w:sz w:val="20"/>
          <w:szCs w:val="20"/>
        </w:rPr>
        <w:tab/>
        <w:t>1:</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Management Accounting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Management Accounting’s Role i</w:t>
      </w:r>
      <w:r>
        <w:rPr>
          <w:rFonts w:ascii="Arial" w:hAnsi="Arial" w:cs="Arial"/>
          <w:bCs/>
          <w:sz w:val="20"/>
          <w:szCs w:val="20"/>
        </w:rPr>
        <w:t xml:space="preserve">n Assigning Decision Making </w:t>
      </w:r>
      <w:r w:rsidRPr="00823549">
        <w:rPr>
          <w:rFonts w:ascii="Arial" w:hAnsi="Arial" w:cs="Arial"/>
          <w:bCs/>
          <w:sz w:val="20"/>
          <w:szCs w:val="20"/>
        </w:rPr>
        <w:t>Authority</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Management Accounting’s Role in Decision Making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Performance Evaluation and Rewards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Accounting for Manufacturing Operations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Classifications of Manufacturing Costs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 xml:space="preserve"> Week 2:</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Product Cost </w:t>
      </w:r>
    </w:p>
    <w:p w:rsidR="004C68AA" w:rsidRPr="00823549" w:rsidRDefault="004C68AA" w:rsidP="004C68AA">
      <w:pPr>
        <w:ind w:firstLine="720"/>
        <w:contextualSpacing/>
        <w:jc w:val="both"/>
        <w:rPr>
          <w:rFonts w:ascii="Arial" w:hAnsi="Arial" w:cs="Arial"/>
          <w:bCs/>
          <w:sz w:val="20"/>
          <w:szCs w:val="20"/>
        </w:rPr>
      </w:pPr>
      <w:r w:rsidRPr="00823549">
        <w:rPr>
          <w:rFonts w:ascii="Arial" w:hAnsi="Arial" w:cs="Arial"/>
          <w:bCs/>
          <w:sz w:val="20"/>
          <w:szCs w:val="20"/>
        </w:rPr>
        <w:tab/>
        <w:t xml:space="preserve">Period Cost </w:t>
      </w:r>
    </w:p>
    <w:p w:rsidR="004C68AA" w:rsidRPr="00823549" w:rsidRDefault="004C68AA" w:rsidP="004C68AA">
      <w:pPr>
        <w:ind w:firstLine="720"/>
        <w:contextualSpacing/>
        <w:jc w:val="both"/>
        <w:rPr>
          <w:rFonts w:ascii="Arial" w:hAnsi="Arial" w:cs="Arial"/>
          <w:bCs/>
          <w:sz w:val="20"/>
          <w:szCs w:val="20"/>
        </w:rPr>
      </w:pPr>
      <w:r w:rsidRPr="00823549">
        <w:rPr>
          <w:rFonts w:ascii="Arial" w:hAnsi="Arial" w:cs="Arial"/>
          <w:bCs/>
          <w:sz w:val="20"/>
          <w:szCs w:val="20"/>
        </w:rPr>
        <w:tab/>
        <w:t xml:space="preserve">Product Cost and Matching Principle </w:t>
      </w:r>
    </w:p>
    <w:p w:rsidR="004C68AA" w:rsidRPr="00823549" w:rsidRDefault="004C68AA" w:rsidP="004C68AA">
      <w:pPr>
        <w:ind w:firstLine="720"/>
        <w:contextualSpacing/>
        <w:jc w:val="both"/>
        <w:rPr>
          <w:rFonts w:ascii="Arial" w:hAnsi="Arial" w:cs="Arial"/>
          <w:bCs/>
          <w:sz w:val="20"/>
          <w:szCs w:val="20"/>
        </w:rPr>
      </w:pPr>
      <w:r w:rsidRPr="00823549">
        <w:rPr>
          <w:rFonts w:ascii="Arial" w:hAnsi="Arial" w:cs="Arial"/>
          <w:bCs/>
          <w:sz w:val="20"/>
          <w:szCs w:val="20"/>
        </w:rPr>
        <w:tab/>
        <w:t xml:space="preserve">Inventories of Manufacturing Businesses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Week</w:t>
      </w:r>
      <w:r w:rsidRPr="00823549">
        <w:rPr>
          <w:rFonts w:ascii="Arial" w:hAnsi="Arial" w:cs="Arial"/>
          <w:bCs/>
          <w:sz w:val="20"/>
          <w:szCs w:val="20"/>
        </w:rPr>
        <w:tab/>
        <w:t>3:</w:t>
      </w:r>
    </w:p>
    <w:p w:rsidR="004C68AA" w:rsidRPr="00823549" w:rsidRDefault="004C68AA" w:rsidP="004C68AA">
      <w:pPr>
        <w:contextualSpacing/>
        <w:jc w:val="both"/>
        <w:rPr>
          <w:rFonts w:ascii="Arial" w:hAnsi="Arial" w:cs="Arial"/>
          <w:sz w:val="20"/>
          <w:szCs w:val="20"/>
        </w:rPr>
      </w:pPr>
      <w:r w:rsidRPr="00823549">
        <w:rPr>
          <w:rFonts w:ascii="Arial" w:hAnsi="Arial" w:cs="Arial"/>
          <w:bCs/>
          <w:sz w:val="20"/>
          <w:szCs w:val="20"/>
        </w:rPr>
        <w:tab/>
      </w:r>
      <w:r w:rsidRPr="00823549">
        <w:rPr>
          <w:rFonts w:ascii="Arial" w:hAnsi="Arial" w:cs="Arial"/>
          <w:sz w:val="20"/>
          <w:szCs w:val="20"/>
        </w:rPr>
        <w:tab/>
        <w:t xml:space="preserve">The flow of Costs Parallel to the Physical Goods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lastRenderedPageBreak/>
        <w:tab/>
      </w:r>
      <w:r w:rsidRPr="00823549">
        <w:rPr>
          <w:rFonts w:ascii="Arial" w:hAnsi="Arial" w:cs="Arial"/>
          <w:bCs/>
          <w:sz w:val="20"/>
          <w:szCs w:val="20"/>
        </w:rPr>
        <w:tab/>
        <w:t xml:space="preserve">Accounting for Manufacturing Costs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Direct Material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Direct labor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Week 4:</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Manufacturing Overheads</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Direct and Indirect Manufacturing Costs</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Overhead Application Rates </w:t>
      </w:r>
    </w:p>
    <w:p w:rsidR="004C68AA" w:rsidRPr="00823549" w:rsidRDefault="004C68AA" w:rsidP="004C68AA">
      <w:pPr>
        <w:ind w:firstLine="720"/>
        <w:contextualSpacing/>
        <w:jc w:val="both"/>
        <w:rPr>
          <w:rFonts w:ascii="Arial" w:hAnsi="Arial" w:cs="Arial"/>
          <w:bCs/>
          <w:sz w:val="20"/>
          <w:szCs w:val="20"/>
        </w:rPr>
      </w:pPr>
      <w:r w:rsidRPr="00823549">
        <w:rPr>
          <w:rFonts w:ascii="Arial" w:hAnsi="Arial" w:cs="Arial"/>
          <w:bCs/>
          <w:sz w:val="20"/>
          <w:szCs w:val="20"/>
        </w:rPr>
        <w:tab/>
        <w:t xml:space="preserve">Work in Process, Finished Goods &amp; Cost of Goods Sold </w:t>
      </w:r>
    </w:p>
    <w:p w:rsidR="004C68AA" w:rsidRPr="00823549" w:rsidRDefault="004C68AA" w:rsidP="004C68AA">
      <w:pPr>
        <w:ind w:left="720" w:firstLine="720"/>
        <w:contextualSpacing/>
        <w:jc w:val="both"/>
        <w:rPr>
          <w:rFonts w:ascii="Arial" w:hAnsi="Arial" w:cs="Arial"/>
          <w:bCs/>
          <w:sz w:val="20"/>
          <w:szCs w:val="20"/>
        </w:rPr>
      </w:pPr>
      <w:r w:rsidRPr="00823549">
        <w:rPr>
          <w:rFonts w:ascii="Arial" w:hAnsi="Arial" w:cs="Arial"/>
          <w:bCs/>
          <w:sz w:val="20"/>
          <w:szCs w:val="20"/>
        </w:rPr>
        <w:t xml:space="preserve">Need for Unit Cost Data </w:t>
      </w:r>
    </w:p>
    <w:p w:rsidR="004C68AA" w:rsidRPr="00823549" w:rsidRDefault="004C68AA" w:rsidP="004C68AA">
      <w:pPr>
        <w:ind w:left="720" w:firstLine="720"/>
        <w:contextualSpacing/>
        <w:jc w:val="both"/>
        <w:rPr>
          <w:rFonts w:ascii="Arial" w:hAnsi="Arial" w:cs="Arial"/>
          <w:bCs/>
          <w:sz w:val="20"/>
          <w:szCs w:val="20"/>
        </w:rPr>
      </w:pPr>
      <w:r w:rsidRPr="00823549">
        <w:rPr>
          <w:rFonts w:ascii="Arial" w:hAnsi="Arial" w:cs="Arial"/>
          <w:bCs/>
          <w:sz w:val="20"/>
          <w:szCs w:val="20"/>
        </w:rPr>
        <w:t xml:space="preserve">Financial Statement of a Manufacturing Concern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Week 5:</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Global Business &amp; Accounting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Globalization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Environmental Forces Shaping Globalization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Foreign Currencies &amp; Exchange Rates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Week 6:</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Accounting for Transactions with Foreign Companies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Currency Fluctuations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Global Sourcing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Case Study (A Practical Project)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Week 7:</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Costing &amp; Value Chain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The Value Chain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Activity Based Management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The Target Costing Process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Components of Target Costing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 xml:space="preserve">Week 8: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Characteristics of Target Costing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Just in Time Inventory System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TQM and the Value Chain </w:t>
      </w:r>
    </w:p>
    <w:p w:rsidR="004C68AA"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Components of Cost of Quality </w:t>
      </w:r>
    </w:p>
    <w:p w:rsidR="00BD11BB" w:rsidRPr="0053184B" w:rsidRDefault="00BD11BB" w:rsidP="004C68AA">
      <w:pPr>
        <w:contextualSpacing/>
        <w:jc w:val="both"/>
        <w:rPr>
          <w:rFonts w:ascii="Arial" w:hAnsi="Arial" w:cs="Arial"/>
          <w:b/>
          <w:bCs/>
          <w:sz w:val="20"/>
          <w:szCs w:val="20"/>
        </w:rPr>
      </w:pPr>
      <w:r>
        <w:rPr>
          <w:rFonts w:ascii="Arial" w:hAnsi="Arial" w:cs="Arial"/>
          <w:bCs/>
          <w:sz w:val="20"/>
          <w:szCs w:val="20"/>
        </w:rPr>
        <w:tab/>
      </w:r>
      <w:r w:rsidR="000E6F22">
        <w:rPr>
          <w:rFonts w:ascii="Arial" w:hAnsi="Arial" w:cs="Arial"/>
          <w:bCs/>
          <w:sz w:val="20"/>
          <w:szCs w:val="20"/>
        </w:rPr>
        <w:t>------------------------</w:t>
      </w:r>
      <w:r w:rsidRPr="0053184B">
        <w:rPr>
          <w:rFonts w:ascii="Arial" w:hAnsi="Arial" w:cs="Arial"/>
          <w:b/>
          <w:bCs/>
          <w:sz w:val="20"/>
          <w:szCs w:val="20"/>
        </w:rPr>
        <w:t>MIDTERM EXAMS</w:t>
      </w:r>
      <w:r w:rsidR="000E6F22">
        <w:rPr>
          <w:rFonts w:ascii="Arial" w:hAnsi="Arial" w:cs="Arial"/>
          <w:b/>
          <w:bCs/>
          <w:sz w:val="20"/>
          <w:szCs w:val="20"/>
        </w:rPr>
        <w:t>-----------------------------------------</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Week 9:</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Measuring the Cost of Quality </w:t>
      </w:r>
    </w:p>
    <w:p w:rsidR="004C68AA" w:rsidRPr="00823549" w:rsidRDefault="004C68AA" w:rsidP="004C68AA">
      <w:pPr>
        <w:ind w:left="720" w:firstLine="720"/>
        <w:contextualSpacing/>
        <w:jc w:val="both"/>
        <w:rPr>
          <w:rFonts w:ascii="Arial" w:hAnsi="Arial" w:cs="Arial"/>
          <w:bCs/>
          <w:sz w:val="20"/>
          <w:szCs w:val="20"/>
        </w:rPr>
      </w:pPr>
      <w:r w:rsidRPr="00823549">
        <w:rPr>
          <w:rFonts w:ascii="Arial" w:hAnsi="Arial" w:cs="Arial"/>
          <w:bCs/>
          <w:sz w:val="20"/>
          <w:szCs w:val="20"/>
        </w:rPr>
        <w:t xml:space="preserve">Productivity and Quality </w:t>
      </w:r>
    </w:p>
    <w:p w:rsidR="004C68AA" w:rsidRPr="00823549" w:rsidRDefault="004C68AA" w:rsidP="004C68AA">
      <w:pPr>
        <w:ind w:left="720" w:firstLine="720"/>
        <w:contextualSpacing/>
        <w:jc w:val="both"/>
        <w:rPr>
          <w:rFonts w:ascii="Arial" w:hAnsi="Arial" w:cs="Arial"/>
          <w:bCs/>
          <w:sz w:val="20"/>
          <w:szCs w:val="20"/>
        </w:rPr>
      </w:pPr>
      <w:r w:rsidRPr="00823549">
        <w:rPr>
          <w:rFonts w:ascii="Arial" w:hAnsi="Arial" w:cs="Arial"/>
          <w:bCs/>
          <w:sz w:val="20"/>
          <w:szCs w:val="20"/>
        </w:rPr>
        <w:t>Incremental Analysis</w:t>
      </w:r>
    </w:p>
    <w:p w:rsidR="004C68AA" w:rsidRPr="00823549" w:rsidRDefault="004C68AA" w:rsidP="004C68AA">
      <w:pPr>
        <w:ind w:left="720" w:firstLine="720"/>
        <w:contextualSpacing/>
        <w:jc w:val="both"/>
        <w:rPr>
          <w:rFonts w:ascii="Arial" w:hAnsi="Arial" w:cs="Arial"/>
          <w:bCs/>
          <w:sz w:val="20"/>
          <w:szCs w:val="20"/>
        </w:rPr>
      </w:pPr>
      <w:r w:rsidRPr="00823549">
        <w:rPr>
          <w:rFonts w:ascii="Arial" w:hAnsi="Arial" w:cs="Arial"/>
          <w:bCs/>
          <w:sz w:val="20"/>
          <w:szCs w:val="20"/>
        </w:rPr>
        <w:t xml:space="preserve">The Challenge of Changing Markets </w:t>
      </w:r>
    </w:p>
    <w:p w:rsidR="004C68AA" w:rsidRPr="00823549" w:rsidRDefault="004C68AA" w:rsidP="004C68AA">
      <w:pPr>
        <w:ind w:left="720" w:firstLine="720"/>
        <w:contextualSpacing/>
        <w:jc w:val="both"/>
        <w:rPr>
          <w:rFonts w:ascii="Arial" w:hAnsi="Arial" w:cs="Arial"/>
          <w:bCs/>
          <w:sz w:val="20"/>
          <w:szCs w:val="20"/>
        </w:rPr>
      </w:pPr>
      <w:r w:rsidRPr="00823549">
        <w:rPr>
          <w:rFonts w:ascii="Arial" w:hAnsi="Arial" w:cs="Arial"/>
          <w:bCs/>
          <w:sz w:val="20"/>
          <w:szCs w:val="20"/>
        </w:rPr>
        <w:t xml:space="preserve">The Concept of Relevant Cost Information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Week 10:</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Relevant Information in Business Markets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Special Order Decisions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Production Constraints Decisions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Make or Buy Decisions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Joint Product Decisions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Week 11:</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Responsibility Accounting &amp; Performance Evaluation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Responsibility Centers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Responsibility Accounting Systems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Assigning Revenue and Costs to Business Centers </w:t>
      </w:r>
    </w:p>
    <w:p w:rsidR="004C68AA" w:rsidRPr="00823549" w:rsidRDefault="004C68AA" w:rsidP="004C68AA">
      <w:pPr>
        <w:ind w:left="720" w:firstLine="720"/>
        <w:contextualSpacing/>
        <w:jc w:val="both"/>
        <w:rPr>
          <w:rFonts w:ascii="Arial" w:hAnsi="Arial" w:cs="Arial"/>
          <w:bCs/>
          <w:sz w:val="20"/>
          <w:szCs w:val="20"/>
        </w:rPr>
      </w:pPr>
      <w:r w:rsidRPr="00823549">
        <w:rPr>
          <w:rFonts w:ascii="Arial" w:hAnsi="Arial" w:cs="Arial"/>
          <w:bCs/>
          <w:sz w:val="20"/>
          <w:szCs w:val="20"/>
        </w:rPr>
        <w:t xml:space="preserve">Contribution Margin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 xml:space="preserve">Week 12: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Fixed &amp; Variable Costs </w:t>
      </w:r>
    </w:p>
    <w:p w:rsidR="004C68AA" w:rsidRPr="00823549" w:rsidRDefault="004C68AA" w:rsidP="004C68AA">
      <w:pPr>
        <w:ind w:left="720" w:firstLine="720"/>
        <w:contextualSpacing/>
        <w:jc w:val="both"/>
        <w:rPr>
          <w:rFonts w:ascii="Arial" w:hAnsi="Arial" w:cs="Arial"/>
          <w:bCs/>
          <w:sz w:val="20"/>
          <w:szCs w:val="20"/>
        </w:rPr>
      </w:pPr>
      <w:r w:rsidRPr="00823549">
        <w:rPr>
          <w:rFonts w:ascii="Arial" w:hAnsi="Arial" w:cs="Arial"/>
          <w:bCs/>
          <w:sz w:val="20"/>
          <w:szCs w:val="20"/>
        </w:rPr>
        <w:t xml:space="preserve">Traceable &amp; Common Fixed Cost </w:t>
      </w:r>
    </w:p>
    <w:p w:rsidR="004C68AA" w:rsidRPr="00823549" w:rsidRDefault="004C68AA" w:rsidP="004C68AA">
      <w:pPr>
        <w:ind w:left="720" w:firstLine="720"/>
        <w:contextualSpacing/>
        <w:jc w:val="both"/>
        <w:rPr>
          <w:rFonts w:ascii="Arial" w:hAnsi="Arial" w:cs="Arial"/>
          <w:bCs/>
          <w:sz w:val="20"/>
          <w:szCs w:val="20"/>
        </w:rPr>
      </w:pPr>
      <w:r w:rsidRPr="00823549">
        <w:rPr>
          <w:rFonts w:ascii="Arial" w:hAnsi="Arial" w:cs="Arial"/>
          <w:bCs/>
          <w:sz w:val="20"/>
          <w:szCs w:val="20"/>
        </w:rPr>
        <w:t xml:space="preserve">Responsibility margin </w:t>
      </w:r>
    </w:p>
    <w:p w:rsidR="004C68AA" w:rsidRPr="00823549" w:rsidRDefault="004C68AA" w:rsidP="004C68AA">
      <w:pPr>
        <w:ind w:left="720" w:firstLine="720"/>
        <w:contextualSpacing/>
        <w:jc w:val="both"/>
        <w:rPr>
          <w:rFonts w:ascii="Arial" w:hAnsi="Arial" w:cs="Arial"/>
          <w:bCs/>
          <w:sz w:val="20"/>
          <w:szCs w:val="20"/>
        </w:rPr>
      </w:pPr>
      <w:r w:rsidRPr="00823549">
        <w:rPr>
          <w:rFonts w:ascii="Arial" w:hAnsi="Arial" w:cs="Arial"/>
          <w:bCs/>
          <w:sz w:val="20"/>
          <w:szCs w:val="20"/>
        </w:rPr>
        <w:t xml:space="preserve">Responsibility Center’s </w:t>
      </w:r>
      <w:proofErr w:type="gramStart"/>
      <w:r w:rsidRPr="00823549">
        <w:rPr>
          <w:rFonts w:ascii="Arial" w:hAnsi="Arial" w:cs="Arial"/>
          <w:bCs/>
          <w:sz w:val="20"/>
          <w:szCs w:val="20"/>
        </w:rPr>
        <w:t>Reporting</w:t>
      </w:r>
      <w:proofErr w:type="gramEnd"/>
      <w:r w:rsidRPr="00823549">
        <w:rPr>
          <w:rFonts w:ascii="Arial" w:hAnsi="Arial" w:cs="Arial"/>
          <w:bCs/>
          <w:sz w:val="20"/>
          <w:szCs w:val="20"/>
        </w:rPr>
        <w:t xml:space="preserve"> in Financial Statement </w:t>
      </w:r>
    </w:p>
    <w:p w:rsidR="00F76C89" w:rsidRDefault="00F76C89" w:rsidP="004C68AA">
      <w:pPr>
        <w:contextualSpacing/>
        <w:jc w:val="both"/>
        <w:rPr>
          <w:rFonts w:ascii="Arial" w:hAnsi="Arial" w:cs="Arial"/>
          <w:bCs/>
          <w:sz w:val="20"/>
          <w:szCs w:val="20"/>
        </w:rPr>
      </w:pP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lastRenderedPageBreak/>
        <w:t>Week 13:</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Operational Budgeting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The Basis for Planning and Control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Benefits of Budgeting </w:t>
      </w:r>
      <w:r w:rsidRPr="00823549">
        <w:rPr>
          <w:rFonts w:ascii="Arial" w:hAnsi="Arial" w:cs="Arial"/>
          <w:bCs/>
          <w:sz w:val="20"/>
          <w:szCs w:val="20"/>
        </w:rPr>
        <w:tab/>
      </w:r>
    </w:p>
    <w:p w:rsidR="004C68AA" w:rsidRPr="00823549" w:rsidRDefault="004C68AA" w:rsidP="004C68AA">
      <w:pPr>
        <w:ind w:left="720" w:firstLine="720"/>
        <w:contextualSpacing/>
        <w:jc w:val="both"/>
        <w:rPr>
          <w:rFonts w:ascii="Arial" w:hAnsi="Arial" w:cs="Arial"/>
          <w:bCs/>
          <w:sz w:val="20"/>
          <w:szCs w:val="20"/>
        </w:rPr>
      </w:pPr>
      <w:r w:rsidRPr="00823549">
        <w:rPr>
          <w:rFonts w:ascii="Arial" w:hAnsi="Arial" w:cs="Arial"/>
          <w:bCs/>
          <w:sz w:val="20"/>
          <w:szCs w:val="20"/>
        </w:rPr>
        <w:t xml:space="preserve">Establishing Budgeting Amounts </w:t>
      </w:r>
    </w:p>
    <w:p w:rsidR="004C68AA" w:rsidRPr="00823549" w:rsidRDefault="004C68AA" w:rsidP="004C68AA">
      <w:pPr>
        <w:contextualSpacing/>
        <w:jc w:val="both"/>
        <w:rPr>
          <w:rFonts w:ascii="Arial" w:hAnsi="Arial" w:cs="Arial"/>
          <w:bCs/>
          <w:sz w:val="20"/>
          <w:szCs w:val="20"/>
        </w:rPr>
      </w:pPr>
      <w:r>
        <w:rPr>
          <w:rFonts w:ascii="Arial" w:hAnsi="Arial" w:cs="Arial"/>
          <w:bCs/>
          <w:sz w:val="20"/>
          <w:szCs w:val="20"/>
        </w:rPr>
        <w:t xml:space="preserve"> Week 1</w:t>
      </w:r>
      <w:r w:rsidRPr="00823549">
        <w:rPr>
          <w:rFonts w:ascii="Arial" w:hAnsi="Arial" w:cs="Arial"/>
          <w:bCs/>
          <w:sz w:val="20"/>
          <w:szCs w:val="20"/>
        </w:rPr>
        <w:t>4:</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The Budget Period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The Master Budget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Preparing Master Budgets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Week 15:</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Operational Budgets Estimates </w:t>
      </w:r>
    </w:p>
    <w:p w:rsidR="004C68AA" w:rsidRPr="00823549" w:rsidRDefault="004C68AA" w:rsidP="004C68AA">
      <w:pPr>
        <w:ind w:left="720" w:firstLine="720"/>
        <w:contextualSpacing/>
        <w:jc w:val="both"/>
        <w:rPr>
          <w:rFonts w:ascii="Arial" w:hAnsi="Arial" w:cs="Arial"/>
          <w:bCs/>
          <w:sz w:val="20"/>
          <w:szCs w:val="20"/>
        </w:rPr>
      </w:pPr>
      <w:r w:rsidRPr="00823549">
        <w:rPr>
          <w:rFonts w:ascii="Arial" w:hAnsi="Arial" w:cs="Arial"/>
          <w:bCs/>
          <w:sz w:val="20"/>
          <w:szCs w:val="20"/>
        </w:rPr>
        <w:t xml:space="preserve">Financial Budgets Estimates </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Week 16:</w:t>
      </w:r>
    </w:p>
    <w:p w:rsidR="004C68AA" w:rsidRPr="00823549" w:rsidRDefault="004C68AA" w:rsidP="004C68AA">
      <w:pPr>
        <w:contextualSpacing/>
        <w:jc w:val="both"/>
        <w:rPr>
          <w:rFonts w:ascii="Arial" w:hAnsi="Arial" w:cs="Arial"/>
          <w:bCs/>
          <w:sz w:val="20"/>
          <w:szCs w:val="20"/>
        </w:rPr>
      </w:pPr>
      <w:r w:rsidRPr="00823549">
        <w:rPr>
          <w:rFonts w:ascii="Arial" w:hAnsi="Arial" w:cs="Arial"/>
          <w:bCs/>
          <w:sz w:val="20"/>
          <w:szCs w:val="20"/>
        </w:rPr>
        <w:tab/>
      </w:r>
      <w:r w:rsidRPr="00823549">
        <w:rPr>
          <w:rFonts w:ascii="Arial" w:hAnsi="Arial" w:cs="Arial"/>
          <w:bCs/>
          <w:sz w:val="20"/>
          <w:szCs w:val="20"/>
        </w:rPr>
        <w:tab/>
        <w:t xml:space="preserve">Review </w:t>
      </w:r>
    </w:p>
    <w:p w:rsidR="004C68AA" w:rsidRPr="00823549" w:rsidRDefault="004C68AA" w:rsidP="004C68AA">
      <w:pPr>
        <w:ind w:left="720" w:firstLine="720"/>
        <w:contextualSpacing/>
        <w:jc w:val="both"/>
        <w:rPr>
          <w:rFonts w:ascii="Arial" w:hAnsi="Arial" w:cs="Arial"/>
          <w:bCs/>
          <w:sz w:val="20"/>
          <w:szCs w:val="20"/>
        </w:rPr>
      </w:pPr>
      <w:r w:rsidRPr="00823549">
        <w:rPr>
          <w:rFonts w:ascii="Arial" w:hAnsi="Arial" w:cs="Arial"/>
          <w:bCs/>
          <w:sz w:val="20"/>
          <w:szCs w:val="20"/>
        </w:rPr>
        <w:t xml:space="preserve">Presentations </w:t>
      </w:r>
    </w:p>
    <w:p w:rsidR="004C68AA" w:rsidRPr="00823549" w:rsidRDefault="004C68AA" w:rsidP="004C68AA">
      <w:pPr>
        <w:ind w:left="720" w:firstLine="720"/>
        <w:contextualSpacing/>
        <w:jc w:val="both"/>
        <w:rPr>
          <w:rFonts w:ascii="Arial" w:hAnsi="Arial" w:cs="Arial"/>
          <w:bCs/>
          <w:sz w:val="20"/>
          <w:szCs w:val="20"/>
        </w:rPr>
      </w:pPr>
      <w:r w:rsidRPr="00823549">
        <w:rPr>
          <w:rFonts w:ascii="Arial" w:hAnsi="Arial" w:cs="Arial"/>
          <w:bCs/>
          <w:sz w:val="20"/>
          <w:szCs w:val="20"/>
        </w:rPr>
        <w:t xml:space="preserve">Examination </w:t>
      </w:r>
    </w:p>
    <w:p w:rsidR="004C68AA" w:rsidRPr="00823549" w:rsidRDefault="004C68AA" w:rsidP="004C68AA">
      <w:pPr>
        <w:contextualSpacing/>
        <w:jc w:val="both"/>
        <w:rPr>
          <w:rFonts w:ascii="Arial" w:hAnsi="Arial" w:cs="Arial"/>
          <w:bCs/>
          <w:sz w:val="20"/>
          <w:szCs w:val="20"/>
        </w:rPr>
      </w:pPr>
    </w:p>
    <w:p w:rsidR="00E3530F" w:rsidRDefault="00E3530F" w:rsidP="00E3530F">
      <w:pPr>
        <w:pStyle w:val="Heading4"/>
        <w:rPr>
          <w:rFonts w:ascii="Times New Roman" w:hAnsi="Times New Roman"/>
        </w:rPr>
      </w:pPr>
      <w:r w:rsidRPr="00501E81">
        <w:rPr>
          <w:rFonts w:ascii="Times New Roman" w:hAnsi="Times New Roman"/>
        </w:rPr>
        <w:t>Course Assessment</w:t>
      </w:r>
      <w:r>
        <w:rPr>
          <w:rFonts w:ascii="Times New Roman" w:hAnsi="Times New Roman"/>
        </w:rPr>
        <w:t>/Evaluation</w:t>
      </w:r>
    </w:p>
    <w:p w:rsidR="00E3530F" w:rsidRDefault="00E3530F" w:rsidP="00E3530F">
      <w:pPr>
        <w:pStyle w:val="Heading4"/>
        <w:rPr>
          <w:rFonts w:ascii="Times New Roman" w:hAnsi="Times New Roman"/>
        </w:rPr>
      </w:pPr>
    </w:p>
    <w:p w:rsidR="00E3530F" w:rsidRPr="003054C3" w:rsidRDefault="00E3530F" w:rsidP="00E3530F">
      <w:pPr>
        <w:pStyle w:val="Heading4"/>
        <w:rPr>
          <w:rFonts w:ascii="Times New Roman" w:hAnsi="Times New Roman"/>
          <w:b w:val="0"/>
        </w:rPr>
      </w:pPr>
      <w:r w:rsidRPr="003054C3">
        <w:rPr>
          <w:rFonts w:ascii="Times New Roman" w:hAnsi="Times New Roman"/>
          <w:b w:val="0"/>
        </w:rPr>
        <w:t>Grades in this course will be assigned according to the following criteria:</w:t>
      </w:r>
    </w:p>
    <w:p w:rsidR="00E3530F" w:rsidRPr="003054C3" w:rsidRDefault="00E3530F" w:rsidP="00E3530F">
      <w:pPr>
        <w:ind w:left="-709" w:right="-1050"/>
      </w:pPr>
    </w:p>
    <w:tbl>
      <w:tblPr>
        <w:tblW w:w="0" w:type="auto"/>
        <w:jc w:val="center"/>
        <w:tblLayout w:type="fixed"/>
        <w:tblLook w:val="0000" w:firstRow="0" w:lastRow="0" w:firstColumn="0" w:lastColumn="0" w:noHBand="0" w:noVBand="0"/>
      </w:tblPr>
      <w:tblGrid>
        <w:gridCol w:w="3227"/>
        <w:gridCol w:w="998"/>
      </w:tblGrid>
      <w:tr w:rsidR="00E3530F" w:rsidRPr="003054C3" w:rsidTr="00741FFC">
        <w:trPr>
          <w:jc w:val="center"/>
        </w:trPr>
        <w:tc>
          <w:tcPr>
            <w:tcW w:w="3227" w:type="dxa"/>
            <w:tcBorders>
              <w:top w:val="single" w:sz="18" w:space="0" w:color="auto"/>
              <w:left w:val="single" w:sz="18" w:space="0" w:color="auto"/>
              <w:bottom w:val="single" w:sz="4" w:space="0" w:color="auto"/>
            </w:tcBorders>
            <w:vAlign w:val="center"/>
          </w:tcPr>
          <w:p w:rsidR="00E3530F" w:rsidRPr="003054C3" w:rsidRDefault="00E3530F" w:rsidP="00741FFC">
            <w:pPr>
              <w:ind w:right="34"/>
            </w:pPr>
            <w:r>
              <w:t>Mid-term Examination</w:t>
            </w:r>
            <w:r>
              <w:tab/>
            </w:r>
          </w:p>
        </w:tc>
        <w:tc>
          <w:tcPr>
            <w:tcW w:w="998" w:type="dxa"/>
            <w:tcBorders>
              <w:top w:val="single" w:sz="18" w:space="0" w:color="auto"/>
              <w:left w:val="dotted" w:sz="6" w:space="0" w:color="auto"/>
              <w:bottom w:val="single" w:sz="4" w:space="0" w:color="auto"/>
              <w:right w:val="single" w:sz="18" w:space="0" w:color="auto"/>
            </w:tcBorders>
            <w:vAlign w:val="center"/>
          </w:tcPr>
          <w:p w:rsidR="00E3530F" w:rsidRPr="003054C3" w:rsidRDefault="00E3530F" w:rsidP="00741FFC">
            <w:pPr>
              <w:ind w:right="34"/>
              <w:jc w:val="center"/>
            </w:pPr>
            <w:r w:rsidRPr="003054C3">
              <w:t xml:space="preserve">  </w:t>
            </w:r>
            <w:r>
              <w:t>4</w:t>
            </w:r>
            <w:r w:rsidRPr="003054C3">
              <w:t>0%</w:t>
            </w:r>
          </w:p>
        </w:tc>
      </w:tr>
      <w:tr w:rsidR="00E3530F" w:rsidRPr="00501E81" w:rsidTr="00741FFC">
        <w:trPr>
          <w:jc w:val="center"/>
        </w:trPr>
        <w:tc>
          <w:tcPr>
            <w:tcW w:w="3227" w:type="dxa"/>
            <w:tcBorders>
              <w:top w:val="single" w:sz="4" w:space="0" w:color="auto"/>
              <w:left w:val="single" w:sz="18" w:space="0" w:color="auto"/>
              <w:bottom w:val="single" w:sz="4" w:space="0" w:color="auto"/>
            </w:tcBorders>
            <w:vAlign w:val="center"/>
          </w:tcPr>
          <w:p w:rsidR="00E3530F" w:rsidRPr="00501E81" w:rsidRDefault="00E3530F" w:rsidP="00741FFC">
            <w:pPr>
              <w:ind w:right="34"/>
            </w:pPr>
            <w:r w:rsidRPr="00501E81">
              <w:t>Final E</w:t>
            </w:r>
            <w:r>
              <w:t>xamination</w:t>
            </w:r>
            <w:r>
              <w:tab/>
            </w:r>
            <w:r>
              <w:tab/>
            </w:r>
          </w:p>
        </w:tc>
        <w:tc>
          <w:tcPr>
            <w:tcW w:w="998" w:type="dxa"/>
            <w:tcBorders>
              <w:top w:val="single" w:sz="4" w:space="0" w:color="auto"/>
              <w:left w:val="dotted" w:sz="6" w:space="0" w:color="auto"/>
              <w:bottom w:val="single" w:sz="4" w:space="0" w:color="auto"/>
              <w:right w:val="single" w:sz="18" w:space="0" w:color="auto"/>
            </w:tcBorders>
            <w:vAlign w:val="center"/>
          </w:tcPr>
          <w:p w:rsidR="00E3530F" w:rsidRPr="00501E81" w:rsidRDefault="00E3530F" w:rsidP="00741FFC">
            <w:pPr>
              <w:pStyle w:val="BodyText"/>
              <w:rPr>
                <w:rFonts w:ascii="Times New Roman" w:hAnsi="Times New Roman"/>
              </w:rPr>
            </w:pPr>
            <w:r>
              <w:rPr>
                <w:rFonts w:ascii="Times New Roman" w:hAnsi="Times New Roman"/>
              </w:rPr>
              <w:t xml:space="preserve">  6</w:t>
            </w:r>
            <w:r w:rsidRPr="00501E81">
              <w:rPr>
                <w:rFonts w:ascii="Times New Roman" w:hAnsi="Times New Roman"/>
              </w:rPr>
              <w:t>0%</w:t>
            </w:r>
          </w:p>
        </w:tc>
      </w:tr>
      <w:tr w:rsidR="00E3530F" w:rsidRPr="00501E81" w:rsidTr="00741FFC">
        <w:trPr>
          <w:jc w:val="center"/>
        </w:trPr>
        <w:tc>
          <w:tcPr>
            <w:tcW w:w="3227" w:type="dxa"/>
            <w:tcBorders>
              <w:top w:val="single" w:sz="4" w:space="0" w:color="auto"/>
              <w:left w:val="single" w:sz="18" w:space="0" w:color="auto"/>
              <w:bottom w:val="single" w:sz="4" w:space="0" w:color="auto"/>
            </w:tcBorders>
            <w:vAlign w:val="center"/>
          </w:tcPr>
          <w:p w:rsidR="00E3530F" w:rsidRPr="00501E81" w:rsidRDefault="00E3530F" w:rsidP="00741FFC">
            <w:pPr>
              <w:ind w:right="34"/>
            </w:pPr>
            <w:r>
              <w:t>Quiz/Assignments</w:t>
            </w:r>
            <w:r w:rsidRPr="00501E81">
              <w:tab/>
            </w:r>
            <w:r w:rsidRPr="00501E81">
              <w:tab/>
            </w:r>
            <w:r>
              <w:t xml:space="preserve">            </w:t>
            </w:r>
          </w:p>
        </w:tc>
        <w:tc>
          <w:tcPr>
            <w:tcW w:w="998" w:type="dxa"/>
            <w:tcBorders>
              <w:top w:val="single" w:sz="4" w:space="0" w:color="auto"/>
              <w:left w:val="dotted" w:sz="6" w:space="0" w:color="auto"/>
              <w:bottom w:val="single" w:sz="4" w:space="0" w:color="auto"/>
              <w:right w:val="single" w:sz="18" w:space="0" w:color="auto"/>
            </w:tcBorders>
            <w:vAlign w:val="center"/>
          </w:tcPr>
          <w:p w:rsidR="00E3530F" w:rsidRPr="00501E81" w:rsidRDefault="00E3530F" w:rsidP="00741FFC">
            <w:pPr>
              <w:pStyle w:val="BodyText"/>
              <w:rPr>
                <w:rFonts w:ascii="Times New Roman" w:hAnsi="Times New Roman"/>
              </w:rPr>
            </w:pPr>
            <w:r>
              <w:rPr>
                <w:rFonts w:ascii="Times New Roman" w:hAnsi="Times New Roman"/>
              </w:rPr>
              <w:t xml:space="preserve">  1</w:t>
            </w:r>
            <w:r w:rsidRPr="00501E81">
              <w:rPr>
                <w:rFonts w:ascii="Times New Roman" w:hAnsi="Times New Roman"/>
              </w:rPr>
              <w:t>0%</w:t>
            </w:r>
          </w:p>
        </w:tc>
      </w:tr>
      <w:tr w:rsidR="00E3530F" w:rsidRPr="00501E81" w:rsidTr="00741FFC">
        <w:trPr>
          <w:jc w:val="center"/>
        </w:trPr>
        <w:tc>
          <w:tcPr>
            <w:tcW w:w="3227" w:type="dxa"/>
            <w:tcBorders>
              <w:top w:val="single" w:sz="4" w:space="0" w:color="auto"/>
              <w:left w:val="single" w:sz="18" w:space="0" w:color="auto"/>
              <w:bottom w:val="single" w:sz="4" w:space="0" w:color="auto"/>
            </w:tcBorders>
            <w:vAlign w:val="center"/>
          </w:tcPr>
          <w:p w:rsidR="00E3530F" w:rsidRPr="00501E81" w:rsidRDefault="00E3530F" w:rsidP="00741FFC">
            <w:pPr>
              <w:ind w:right="34"/>
            </w:pPr>
          </w:p>
        </w:tc>
        <w:tc>
          <w:tcPr>
            <w:tcW w:w="998" w:type="dxa"/>
            <w:tcBorders>
              <w:top w:val="single" w:sz="4" w:space="0" w:color="auto"/>
              <w:left w:val="dotted" w:sz="6" w:space="0" w:color="auto"/>
              <w:bottom w:val="single" w:sz="4" w:space="0" w:color="auto"/>
              <w:right w:val="single" w:sz="18" w:space="0" w:color="auto"/>
            </w:tcBorders>
            <w:vAlign w:val="center"/>
          </w:tcPr>
          <w:p w:rsidR="00E3530F" w:rsidRPr="00501E81" w:rsidRDefault="00E3530F" w:rsidP="00741FFC">
            <w:pPr>
              <w:pStyle w:val="BodyText"/>
              <w:rPr>
                <w:rFonts w:ascii="Times New Roman" w:hAnsi="Times New Roman"/>
              </w:rPr>
            </w:pPr>
          </w:p>
        </w:tc>
      </w:tr>
      <w:tr w:rsidR="00E3530F" w:rsidRPr="00501E81" w:rsidTr="00741FFC">
        <w:trPr>
          <w:jc w:val="center"/>
        </w:trPr>
        <w:tc>
          <w:tcPr>
            <w:tcW w:w="3227" w:type="dxa"/>
            <w:tcBorders>
              <w:top w:val="single" w:sz="4" w:space="0" w:color="auto"/>
              <w:left w:val="single" w:sz="18" w:space="0" w:color="auto"/>
              <w:bottom w:val="single" w:sz="18" w:space="0" w:color="auto"/>
            </w:tcBorders>
          </w:tcPr>
          <w:p w:rsidR="00E3530F" w:rsidRPr="00501E81" w:rsidRDefault="00E3530F" w:rsidP="00741FFC">
            <w:pPr>
              <w:ind w:right="34"/>
              <w:jc w:val="right"/>
            </w:pPr>
            <w:r w:rsidRPr="00501E81">
              <w:t>Total:</w:t>
            </w:r>
          </w:p>
        </w:tc>
        <w:tc>
          <w:tcPr>
            <w:tcW w:w="998" w:type="dxa"/>
            <w:tcBorders>
              <w:top w:val="single" w:sz="4" w:space="0" w:color="auto"/>
              <w:left w:val="dotted" w:sz="6" w:space="0" w:color="auto"/>
              <w:bottom w:val="single" w:sz="18" w:space="0" w:color="auto"/>
              <w:right w:val="single" w:sz="18" w:space="0" w:color="auto"/>
            </w:tcBorders>
          </w:tcPr>
          <w:p w:rsidR="00E3530F" w:rsidRPr="00501E81" w:rsidRDefault="00E3530F" w:rsidP="00741FFC">
            <w:pPr>
              <w:ind w:right="34"/>
              <w:jc w:val="center"/>
            </w:pPr>
            <w:r>
              <w:t>11</w:t>
            </w:r>
            <w:r w:rsidRPr="00501E81">
              <w:t>0%</w:t>
            </w:r>
          </w:p>
        </w:tc>
      </w:tr>
    </w:tbl>
    <w:p w:rsidR="00E3530F" w:rsidRPr="00501E81" w:rsidRDefault="00E3530F" w:rsidP="00E3530F">
      <w:pPr>
        <w:ind w:left="-709" w:right="-1050"/>
      </w:pPr>
    </w:p>
    <w:p w:rsidR="00E3530F" w:rsidRDefault="00E3530F" w:rsidP="00E3530F">
      <w:pPr>
        <w:spacing w:line="360" w:lineRule="auto"/>
        <w:ind w:left="-709" w:right="-1050"/>
        <w:rPr>
          <w:b/>
        </w:rPr>
      </w:pPr>
    </w:p>
    <w:p w:rsidR="00E3530F" w:rsidRDefault="00E3530F" w:rsidP="00E3530F">
      <w:pPr>
        <w:spacing w:line="360" w:lineRule="auto"/>
        <w:ind w:left="-709" w:right="-1050"/>
      </w:pPr>
      <w:r>
        <w:t>Letter grades will be based on the following:</w:t>
      </w:r>
    </w:p>
    <w:tbl>
      <w:tblPr>
        <w:tblW w:w="0" w:type="auto"/>
        <w:tblInd w:w="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809"/>
      </w:tblGrid>
      <w:tr w:rsidR="00E3530F" w:rsidRPr="009B6540" w:rsidTr="00667899">
        <w:trPr>
          <w:trHeight w:val="322"/>
        </w:trPr>
        <w:tc>
          <w:tcPr>
            <w:tcW w:w="1684" w:type="dxa"/>
          </w:tcPr>
          <w:p w:rsidR="00E3530F" w:rsidRPr="009B6540" w:rsidRDefault="00E3530F" w:rsidP="00741FFC">
            <w:pPr>
              <w:ind w:right="-1049"/>
            </w:pPr>
            <w:r w:rsidRPr="009B6540">
              <w:t>AA</w:t>
            </w:r>
          </w:p>
        </w:tc>
        <w:tc>
          <w:tcPr>
            <w:tcW w:w="2809" w:type="dxa"/>
          </w:tcPr>
          <w:p w:rsidR="00E3530F" w:rsidRPr="009B6540" w:rsidRDefault="00E3530F" w:rsidP="00741FFC">
            <w:pPr>
              <w:ind w:right="-1049"/>
            </w:pPr>
            <w:r w:rsidRPr="009B6540">
              <w:t>90-100%</w:t>
            </w:r>
          </w:p>
        </w:tc>
      </w:tr>
      <w:tr w:rsidR="00E3530F" w:rsidRPr="009B6540" w:rsidTr="00667899">
        <w:trPr>
          <w:trHeight w:val="304"/>
        </w:trPr>
        <w:tc>
          <w:tcPr>
            <w:tcW w:w="1684" w:type="dxa"/>
          </w:tcPr>
          <w:p w:rsidR="00E3530F" w:rsidRPr="009B6540" w:rsidRDefault="00E3530F" w:rsidP="00741FFC">
            <w:pPr>
              <w:ind w:right="-1049"/>
            </w:pPr>
            <w:r w:rsidRPr="009B6540">
              <w:t>BA</w:t>
            </w:r>
          </w:p>
        </w:tc>
        <w:tc>
          <w:tcPr>
            <w:tcW w:w="2809" w:type="dxa"/>
          </w:tcPr>
          <w:p w:rsidR="00E3530F" w:rsidRPr="009B6540" w:rsidRDefault="00E3530F" w:rsidP="00741FFC">
            <w:pPr>
              <w:ind w:right="-1049"/>
            </w:pPr>
            <w:r w:rsidRPr="009B6540">
              <w:t>85-89%</w:t>
            </w:r>
          </w:p>
        </w:tc>
      </w:tr>
      <w:tr w:rsidR="00E3530F" w:rsidRPr="009B6540" w:rsidTr="00667899">
        <w:trPr>
          <w:trHeight w:val="304"/>
        </w:trPr>
        <w:tc>
          <w:tcPr>
            <w:tcW w:w="1684" w:type="dxa"/>
          </w:tcPr>
          <w:p w:rsidR="00E3530F" w:rsidRPr="009B6540" w:rsidRDefault="00E3530F" w:rsidP="00741FFC">
            <w:pPr>
              <w:ind w:right="-1049"/>
            </w:pPr>
            <w:r w:rsidRPr="009B6540">
              <w:t>BB</w:t>
            </w:r>
          </w:p>
        </w:tc>
        <w:tc>
          <w:tcPr>
            <w:tcW w:w="2809" w:type="dxa"/>
          </w:tcPr>
          <w:p w:rsidR="00E3530F" w:rsidRPr="009B6540" w:rsidRDefault="00E3530F" w:rsidP="00741FFC">
            <w:pPr>
              <w:ind w:right="-1049"/>
            </w:pPr>
            <w:r w:rsidRPr="009B6540">
              <w:t>80-84%</w:t>
            </w:r>
          </w:p>
        </w:tc>
      </w:tr>
      <w:tr w:rsidR="00E3530F" w:rsidRPr="009B6540" w:rsidTr="00667899">
        <w:trPr>
          <w:trHeight w:val="304"/>
        </w:trPr>
        <w:tc>
          <w:tcPr>
            <w:tcW w:w="1684" w:type="dxa"/>
          </w:tcPr>
          <w:p w:rsidR="00E3530F" w:rsidRPr="009B6540" w:rsidRDefault="00E3530F" w:rsidP="00741FFC">
            <w:pPr>
              <w:ind w:right="-1049"/>
            </w:pPr>
            <w:r w:rsidRPr="009B6540">
              <w:t>CB</w:t>
            </w:r>
          </w:p>
        </w:tc>
        <w:tc>
          <w:tcPr>
            <w:tcW w:w="2809" w:type="dxa"/>
          </w:tcPr>
          <w:p w:rsidR="00E3530F" w:rsidRPr="009B6540" w:rsidRDefault="00E3530F" w:rsidP="00741FFC">
            <w:pPr>
              <w:ind w:right="-1049"/>
            </w:pPr>
            <w:r w:rsidRPr="009B6540">
              <w:t>75-79%</w:t>
            </w:r>
          </w:p>
        </w:tc>
      </w:tr>
      <w:tr w:rsidR="00E3530F" w:rsidRPr="009B6540" w:rsidTr="00667899">
        <w:trPr>
          <w:trHeight w:val="304"/>
        </w:trPr>
        <w:tc>
          <w:tcPr>
            <w:tcW w:w="1684" w:type="dxa"/>
          </w:tcPr>
          <w:p w:rsidR="00E3530F" w:rsidRPr="009B6540" w:rsidRDefault="00E3530F" w:rsidP="00741FFC">
            <w:pPr>
              <w:ind w:right="-1049"/>
            </w:pPr>
            <w:r w:rsidRPr="009B6540">
              <w:t>CC</w:t>
            </w:r>
          </w:p>
        </w:tc>
        <w:tc>
          <w:tcPr>
            <w:tcW w:w="2809" w:type="dxa"/>
          </w:tcPr>
          <w:p w:rsidR="00E3530F" w:rsidRPr="009B6540" w:rsidRDefault="00E3530F" w:rsidP="00741FFC">
            <w:pPr>
              <w:ind w:right="-1049"/>
            </w:pPr>
            <w:r w:rsidRPr="009B6540">
              <w:t>70-74%</w:t>
            </w:r>
          </w:p>
        </w:tc>
      </w:tr>
      <w:tr w:rsidR="00E3530F" w:rsidRPr="009B6540" w:rsidTr="00667899">
        <w:trPr>
          <w:trHeight w:val="304"/>
        </w:trPr>
        <w:tc>
          <w:tcPr>
            <w:tcW w:w="1684" w:type="dxa"/>
          </w:tcPr>
          <w:p w:rsidR="00E3530F" w:rsidRPr="009B6540" w:rsidRDefault="00E3530F" w:rsidP="00741FFC">
            <w:pPr>
              <w:ind w:right="-1049"/>
            </w:pPr>
            <w:r w:rsidRPr="009B6540">
              <w:t>DC</w:t>
            </w:r>
          </w:p>
        </w:tc>
        <w:tc>
          <w:tcPr>
            <w:tcW w:w="2809" w:type="dxa"/>
          </w:tcPr>
          <w:p w:rsidR="00E3530F" w:rsidRPr="009B6540" w:rsidRDefault="00E3530F" w:rsidP="00741FFC">
            <w:pPr>
              <w:ind w:right="-1049"/>
            </w:pPr>
            <w:r w:rsidRPr="009B6540">
              <w:t>65-69%</w:t>
            </w:r>
          </w:p>
        </w:tc>
      </w:tr>
      <w:tr w:rsidR="00E3530F" w:rsidRPr="009B6540" w:rsidTr="00667899">
        <w:trPr>
          <w:trHeight w:val="304"/>
        </w:trPr>
        <w:tc>
          <w:tcPr>
            <w:tcW w:w="1684" w:type="dxa"/>
          </w:tcPr>
          <w:p w:rsidR="00E3530F" w:rsidRPr="009B6540" w:rsidRDefault="00E3530F" w:rsidP="00741FFC">
            <w:pPr>
              <w:ind w:right="-1049"/>
            </w:pPr>
            <w:r w:rsidRPr="009B6540">
              <w:t>DD</w:t>
            </w:r>
          </w:p>
        </w:tc>
        <w:tc>
          <w:tcPr>
            <w:tcW w:w="2809" w:type="dxa"/>
          </w:tcPr>
          <w:p w:rsidR="00E3530F" w:rsidRPr="009B6540" w:rsidRDefault="00E3530F" w:rsidP="00741FFC">
            <w:pPr>
              <w:ind w:right="-1049"/>
            </w:pPr>
            <w:r w:rsidRPr="009B6540">
              <w:t>60-64%</w:t>
            </w:r>
          </w:p>
        </w:tc>
      </w:tr>
      <w:tr w:rsidR="00E3530F" w:rsidRPr="009B6540" w:rsidTr="00667899">
        <w:trPr>
          <w:trHeight w:val="304"/>
        </w:trPr>
        <w:tc>
          <w:tcPr>
            <w:tcW w:w="1684" w:type="dxa"/>
          </w:tcPr>
          <w:p w:rsidR="00E3530F" w:rsidRPr="009B6540" w:rsidRDefault="00E3530F" w:rsidP="00741FFC">
            <w:pPr>
              <w:ind w:right="-1049"/>
            </w:pPr>
            <w:r w:rsidRPr="009B6540">
              <w:t>FD</w:t>
            </w:r>
          </w:p>
        </w:tc>
        <w:tc>
          <w:tcPr>
            <w:tcW w:w="2809" w:type="dxa"/>
          </w:tcPr>
          <w:p w:rsidR="00E3530F" w:rsidRPr="009B6540" w:rsidRDefault="00E3530F" w:rsidP="00741FFC">
            <w:pPr>
              <w:ind w:right="-1049"/>
            </w:pPr>
            <w:r w:rsidRPr="009B6540">
              <w:t>50-59%</w:t>
            </w:r>
          </w:p>
        </w:tc>
      </w:tr>
      <w:tr w:rsidR="00E3530F" w:rsidRPr="009B6540" w:rsidTr="00667899">
        <w:trPr>
          <w:trHeight w:val="322"/>
        </w:trPr>
        <w:tc>
          <w:tcPr>
            <w:tcW w:w="1684" w:type="dxa"/>
          </w:tcPr>
          <w:p w:rsidR="00E3530F" w:rsidRPr="009B6540" w:rsidRDefault="00E3530F" w:rsidP="00741FFC">
            <w:pPr>
              <w:ind w:right="-1049"/>
            </w:pPr>
            <w:r w:rsidRPr="009B6540">
              <w:t>FF</w:t>
            </w:r>
          </w:p>
        </w:tc>
        <w:tc>
          <w:tcPr>
            <w:tcW w:w="2809" w:type="dxa"/>
          </w:tcPr>
          <w:p w:rsidR="00E3530F" w:rsidRPr="009B6540" w:rsidRDefault="00E3530F" w:rsidP="00741FFC">
            <w:pPr>
              <w:ind w:right="-1049"/>
            </w:pPr>
            <w:r w:rsidRPr="009B6540">
              <w:t>0-49%</w:t>
            </w:r>
          </w:p>
        </w:tc>
        <w:bookmarkStart w:id="0" w:name="_GoBack"/>
        <w:bookmarkEnd w:id="0"/>
      </w:tr>
    </w:tbl>
    <w:p w:rsidR="00E3530F" w:rsidRDefault="00E3530F" w:rsidP="00E3530F">
      <w:pPr>
        <w:spacing w:line="360" w:lineRule="auto"/>
        <w:ind w:right="-1050"/>
      </w:pPr>
    </w:p>
    <w:p w:rsidR="00E3530F" w:rsidRDefault="00E3530F" w:rsidP="00E3530F">
      <w:pPr>
        <w:spacing w:line="360" w:lineRule="auto"/>
        <w:ind w:right="-1050"/>
        <w:rPr>
          <w:b/>
        </w:rPr>
      </w:pPr>
    </w:p>
    <w:p w:rsidR="00E3530F" w:rsidRDefault="00E3530F" w:rsidP="00E3530F">
      <w:pPr>
        <w:spacing w:line="360" w:lineRule="auto"/>
        <w:ind w:left="-709" w:right="-1050"/>
        <w:rPr>
          <w:b/>
        </w:rPr>
      </w:pPr>
    </w:p>
    <w:p w:rsidR="00E3530F" w:rsidRDefault="00E3530F" w:rsidP="00E3530F">
      <w:pPr>
        <w:spacing w:line="360" w:lineRule="auto"/>
        <w:ind w:left="-709" w:right="-1050"/>
        <w:rPr>
          <w:b/>
        </w:rPr>
      </w:pPr>
    </w:p>
    <w:p w:rsidR="00E3530F" w:rsidRDefault="00E3530F" w:rsidP="00E3530F">
      <w:pPr>
        <w:spacing w:line="360" w:lineRule="auto"/>
        <w:ind w:left="-709" w:right="-1050"/>
        <w:rPr>
          <w:b/>
        </w:rPr>
      </w:pPr>
    </w:p>
    <w:p w:rsidR="00E3530F" w:rsidRDefault="00E3530F" w:rsidP="00E3530F">
      <w:pPr>
        <w:spacing w:line="360" w:lineRule="auto"/>
        <w:ind w:left="-709" w:right="-1050"/>
        <w:rPr>
          <w:b/>
        </w:rPr>
      </w:pPr>
    </w:p>
    <w:p w:rsidR="00E3530F" w:rsidRDefault="00E3530F" w:rsidP="00E3530F">
      <w:pPr>
        <w:spacing w:line="360" w:lineRule="auto"/>
        <w:ind w:left="-709" w:right="-1050"/>
        <w:rPr>
          <w:b/>
        </w:rPr>
      </w:pPr>
      <w:r w:rsidRPr="00501E81">
        <w:rPr>
          <w:b/>
        </w:rPr>
        <w:t>Course Policies</w:t>
      </w:r>
      <w:r>
        <w:rPr>
          <w:b/>
        </w:rPr>
        <w:t xml:space="preserve"> and Obligations of Students</w:t>
      </w:r>
    </w:p>
    <w:p w:rsidR="00E3530F" w:rsidRDefault="00E3530F" w:rsidP="00E3530F">
      <w:pPr>
        <w:numPr>
          <w:ilvl w:val="0"/>
          <w:numId w:val="2"/>
        </w:numPr>
        <w:spacing w:line="360" w:lineRule="auto"/>
        <w:ind w:right="-1050"/>
        <w:jc w:val="both"/>
      </w:pPr>
      <w:r>
        <w:t xml:space="preserve">Those students that attend class on a regular basis generally have greater success than those that do not. Therefore regular attendance is encouraged (even though students will not be graded on attendance) and students should be prepared to take part in class discussions and assignments (which students will be graded on).  </w:t>
      </w:r>
    </w:p>
    <w:p w:rsidR="00BD11BB" w:rsidRDefault="00BD11BB" w:rsidP="00E3530F">
      <w:pPr>
        <w:numPr>
          <w:ilvl w:val="0"/>
          <w:numId w:val="2"/>
        </w:numPr>
        <w:spacing w:line="360" w:lineRule="auto"/>
        <w:ind w:right="-1050"/>
        <w:jc w:val="both"/>
      </w:pPr>
      <w:r>
        <w:t>The students should have accounting books already mentioned in the outline heading which is important in understating the basic ideas of the questions and the related concepts.</w:t>
      </w:r>
    </w:p>
    <w:p w:rsidR="00E3530F" w:rsidRDefault="00E3530F" w:rsidP="00E3530F">
      <w:pPr>
        <w:numPr>
          <w:ilvl w:val="0"/>
          <w:numId w:val="2"/>
        </w:numPr>
        <w:spacing w:line="360" w:lineRule="auto"/>
        <w:ind w:right="-1050"/>
        <w:jc w:val="both"/>
      </w:pPr>
      <w:r>
        <w:t>All assignments assigned should be submitted on time and in class (late submissions and submissions out of class will not be accepted).</w:t>
      </w:r>
    </w:p>
    <w:p w:rsidR="00E3530F" w:rsidRDefault="00E3530F" w:rsidP="00E3530F">
      <w:pPr>
        <w:numPr>
          <w:ilvl w:val="0"/>
          <w:numId w:val="2"/>
        </w:numPr>
        <w:spacing w:line="360" w:lineRule="auto"/>
        <w:ind w:right="-1050"/>
        <w:jc w:val="both"/>
      </w:pPr>
      <w:r>
        <w:t>Students are required to successfully pass exams and quizzes.</w:t>
      </w:r>
    </w:p>
    <w:p w:rsidR="00B905C1" w:rsidRDefault="00E3530F" w:rsidP="004C68AA">
      <w:pPr>
        <w:numPr>
          <w:ilvl w:val="0"/>
          <w:numId w:val="2"/>
        </w:numPr>
        <w:spacing w:line="360" w:lineRule="auto"/>
        <w:ind w:right="-1050"/>
        <w:jc w:val="both"/>
      </w:pPr>
      <w:r>
        <w:t>In class students are required to behave in a manner that aids rath</w:t>
      </w:r>
      <w:r w:rsidR="00BD11BB">
        <w:t>er than distracts from learning.</w:t>
      </w:r>
    </w:p>
    <w:sectPr w:rsidR="00B905C1" w:rsidSect="00B90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wis721 BT">
    <w:altName w:val="Arial"/>
    <w:charset w:val="00"/>
    <w:family w:val="swiss"/>
    <w:pitch w:val="variable"/>
    <w:sig w:usb0="00000007" w:usb1="00000000"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C5543"/>
    <w:multiLevelType w:val="hybridMultilevel"/>
    <w:tmpl w:val="077C6BE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45D0066"/>
    <w:multiLevelType w:val="hybridMultilevel"/>
    <w:tmpl w:val="049424D2"/>
    <w:lvl w:ilvl="0" w:tplc="041F0001">
      <w:start w:val="1"/>
      <w:numFmt w:val="bullet"/>
      <w:lvlText w:val=""/>
      <w:lvlJc w:val="left"/>
      <w:pPr>
        <w:tabs>
          <w:tab w:val="num" w:pos="11"/>
        </w:tabs>
        <w:ind w:left="11" w:hanging="360"/>
      </w:pPr>
      <w:rPr>
        <w:rFonts w:ascii="Symbol" w:hAnsi="Symbol" w:hint="default"/>
      </w:rPr>
    </w:lvl>
    <w:lvl w:ilvl="1" w:tplc="041F0003" w:tentative="1">
      <w:start w:val="1"/>
      <w:numFmt w:val="bullet"/>
      <w:lvlText w:val="o"/>
      <w:lvlJc w:val="left"/>
      <w:pPr>
        <w:tabs>
          <w:tab w:val="num" w:pos="731"/>
        </w:tabs>
        <w:ind w:left="731" w:hanging="360"/>
      </w:pPr>
      <w:rPr>
        <w:rFonts w:ascii="Courier New" w:hAnsi="Courier New" w:cs="Courier New" w:hint="default"/>
      </w:rPr>
    </w:lvl>
    <w:lvl w:ilvl="2" w:tplc="041F0005" w:tentative="1">
      <w:start w:val="1"/>
      <w:numFmt w:val="bullet"/>
      <w:lvlText w:val=""/>
      <w:lvlJc w:val="left"/>
      <w:pPr>
        <w:tabs>
          <w:tab w:val="num" w:pos="1451"/>
        </w:tabs>
        <w:ind w:left="1451" w:hanging="360"/>
      </w:pPr>
      <w:rPr>
        <w:rFonts w:ascii="Wingdings" w:hAnsi="Wingdings" w:hint="default"/>
      </w:rPr>
    </w:lvl>
    <w:lvl w:ilvl="3" w:tplc="041F0001" w:tentative="1">
      <w:start w:val="1"/>
      <w:numFmt w:val="bullet"/>
      <w:lvlText w:val=""/>
      <w:lvlJc w:val="left"/>
      <w:pPr>
        <w:tabs>
          <w:tab w:val="num" w:pos="2171"/>
        </w:tabs>
        <w:ind w:left="2171" w:hanging="360"/>
      </w:pPr>
      <w:rPr>
        <w:rFonts w:ascii="Symbol" w:hAnsi="Symbol" w:hint="default"/>
      </w:rPr>
    </w:lvl>
    <w:lvl w:ilvl="4" w:tplc="041F0003" w:tentative="1">
      <w:start w:val="1"/>
      <w:numFmt w:val="bullet"/>
      <w:lvlText w:val="o"/>
      <w:lvlJc w:val="left"/>
      <w:pPr>
        <w:tabs>
          <w:tab w:val="num" w:pos="2891"/>
        </w:tabs>
        <w:ind w:left="2891" w:hanging="360"/>
      </w:pPr>
      <w:rPr>
        <w:rFonts w:ascii="Courier New" w:hAnsi="Courier New" w:cs="Courier New" w:hint="default"/>
      </w:rPr>
    </w:lvl>
    <w:lvl w:ilvl="5" w:tplc="041F0005" w:tentative="1">
      <w:start w:val="1"/>
      <w:numFmt w:val="bullet"/>
      <w:lvlText w:val=""/>
      <w:lvlJc w:val="left"/>
      <w:pPr>
        <w:tabs>
          <w:tab w:val="num" w:pos="3611"/>
        </w:tabs>
        <w:ind w:left="3611" w:hanging="360"/>
      </w:pPr>
      <w:rPr>
        <w:rFonts w:ascii="Wingdings" w:hAnsi="Wingdings" w:hint="default"/>
      </w:rPr>
    </w:lvl>
    <w:lvl w:ilvl="6" w:tplc="041F0001" w:tentative="1">
      <w:start w:val="1"/>
      <w:numFmt w:val="bullet"/>
      <w:lvlText w:val=""/>
      <w:lvlJc w:val="left"/>
      <w:pPr>
        <w:tabs>
          <w:tab w:val="num" w:pos="4331"/>
        </w:tabs>
        <w:ind w:left="4331" w:hanging="360"/>
      </w:pPr>
      <w:rPr>
        <w:rFonts w:ascii="Symbol" w:hAnsi="Symbol" w:hint="default"/>
      </w:rPr>
    </w:lvl>
    <w:lvl w:ilvl="7" w:tplc="041F0003" w:tentative="1">
      <w:start w:val="1"/>
      <w:numFmt w:val="bullet"/>
      <w:lvlText w:val="o"/>
      <w:lvlJc w:val="left"/>
      <w:pPr>
        <w:tabs>
          <w:tab w:val="num" w:pos="5051"/>
        </w:tabs>
        <w:ind w:left="5051" w:hanging="360"/>
      </w:pPr>
      <w:rPr>
        <w:rFonts w:ascii="Courier New" w:hAnsi="Courier New" w:cs="Courier New" w:hint="default"/>
      </w:rPr>
    </w:lvl>
    <w:lvl w:ilvl="8" w:tplc="041F0005" w:tentative="1">
      <w:start w:val="1"/>
      <w:numFmt w:val="bullet"/>
      <w:lvlText w:val=""/>
      <w:lvlJc w:val="left"/>
      <w:pPr>
        <w:tabs>
          <w:tab w:val="num" w:pos="5771"/>
        </w:tabs>
        <w:ind w:left="57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8AA"/>
    <w:rsid w:val="00092BD9"/>
    <w:rsid w:val="000E6F22"/>
    <w:rsid w:val="004C68AA"/>
    <w:rsid w:val="0053184B"/>
    <w:rsid w:val="006509DF"/>
    <w:rsid w:val="00667899"/>
    <w:rsid w:val="009774AB"/>
    <w:rsid w:val="009F2758"/>
    <w:rsid w:val="00B905C1"/>
    <w:rsid w:val="00BD11BB"/>
    <w:rsid w:val="00E3530F"/>
    <w:rsid w:val="00F7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8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68A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509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C68A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E3530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68AA"/>
    <w:rPr>
      <w:rFonts w:ascii="Arial" w:eastAsia="Times New Roman" w:hAnsi="Arial" w:cs="Arial"/>
      <w:b/>
      <w:bCs/>
      <w:kern w:val="32"/>
      <w:sz w:val="32"/>
      <w:szCs w:val="32"/>
    </w:rPr>
  </w:style>
  <w:style w:type="character" w:customStyle="1" w:styleId="Heading3Char">
    <w:name w:val="Heading 3 Char"/>
    <w:basedOn w:val="DefaultParagraphFont"/>
    <w:link w:val="Heading3"/>
    <w:rsid w:val="004C68AA"/>
    <w:rPr>
      <w:rFonts w:ascii="Arial" w:eastAsia="Times New Roman" w:hAnsi="Arial" w:cs="Arial"/>
      <w:b/>
      <w:bCs/>
      <w:sz w:val="26"/>
      <w:szCs w:val="26"/>
    </w:rPr>
  </w:style>
  <w:style w:type="character" w:customStyle="1" w:styleId="Heading2Char">
    <w:name w:val="Heading 2 Char"/>
    <w:basedOn w:val="DefaultParagraphFont"/>
    <w:link w:val="Heading2"/>
    <w:uiPriority w:val="9"/>
    <w:semiHidden/>
    <w:rsid w:val="006509DF"/>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092BD9"/>
    <w:pPr>
      <w:jc w:val="center"/>
    </w:pPr>
    <w:rPr>
      <w:rFonts w:ascii="Comic Sans MS" w:hAnsi="Comic Sans MS"/>
      <w:b/>
      <w:sz w:val="40"/>
      <w:szCs w:val="20"/>
    </w:rPr>
  </w:style>
  <w:style w:type="character" w:customStyle="1" w:styleId="TitleChar">
    <w:name w:val="Title Char"/>
    <w:basedOn w:val="DefaultParagraphFont"/>
    <w:link w:val="Title"/>
    <w:rsid w:val="00092BD9"/>
    <w:rPr>
      <w:rFonts w:ascii="Comic Sans MS" w:eastAsia="Times New Roman" w:hAnsi="Comic Sans MS" w:cs="Times New Roman"/>
      <w:b/>
      <w:sz w:val="40"/>
      <w:szCs w:val="20"/>
    </w:rPr>
  </w:style>
  <w:style w:type="character" w:customStyle="1" w:styleId="Heading4Char">
    <w:name w:val="Heading 4 Char"/>
    <w:basedOn w:val="DefaultParagraphFont"/>
    <w:link w:val="Heading4"/>
    <w:uiPriority w:val="9"/>
    <w:semiHidden/>
    <w:rsid w:val="00E3530F"/>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E3530F"/>
    <w:pPr>
      <w:ind w:right="34"/>
      <w:jc w:val="center"/>
    </w:pPr>
    <w:rPr>
      <w:rFonts w:ascii="Swis721 BT" w:hAnsi="Swis721 BT"/>
      <w:szCs w:val="20"/>
    </w:rPr>
  </w:style>
  <w:style w:type="character" w:customStyle="1" w:styleId="BodyTextChar">
    <w:name w:val="Body Text Char"/>
    <w:basedOn w:val="DefaultParagraphFont"/>
    <w:link w:val="BodyText"/>
    <w:rsid w:val="00E3530F"/>
    <w:rPr>
      <w:rFonts w:ascii="Swis721 BT" w:eastAsia="Times New Roman" w:hAnsi="Swis721 BT"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8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68A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509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C68A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E3530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68AA"/>
    <w:rPr>
      <w:rFonts w:ascii="Arial" w:eastAsia="Times New Roman" w:hAnsi="Arial" w:cs="Arial"/>
      <w:b/>
      <w:bCs/>
      <w:kern w:val="32"/>
      <w:sz w:val="32"/>
      <w:szCs w:val="32"/>
    </w:rPr>
  </w:style>
  <w:style w:type="character" w:customStyle="1" w:styleId="Heading3Char">
    <w:name w:val="Heading 3 Char"/>
    <w:basedOn w:val="DefaultParagraphFont"/>
    <w:link w:val="Heading3"/>
    <w:rsid w:val="004C68AA"/>
    <w:rPr>
      <w:rFonts w:ascii="Arial" w:eastAsia="Times New Roman" w:hAnsi="Arial" w:cs="Arial"/>
      <w:b/>
      <w:bCs/>
      <w:sz w:val="26"/>
      <w:szCs w:val="26"/>
    </w:rPr>
  </w:style>
  <w:style w:type="character" w:customStyle="1" w:styleId="Heading2Char">
    <w:name w:val="Heading 2 Char"/>
    <w:basedOn w:val="DefaultParagraphFont"/>
    <w:link w:val="Heading2"/>
    <w:uiPriority w:val="9"/>
    <w:semiHidden/>
    <w:rsid w:val="006509DF"/>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092BD9"/>
    <w:pPr>
      <w:jc w:val="center"/>
    </w:pPr>
    <w:rPr>
      <w:rFonts w:ascii="Comic Sans MS" w:hAnsi="Comic Sans MS"/>
      <w:b/>
      <w:sz w:val="40"/>
      <w:szCs w:val="20"/>
    </w:rPr>
  </w:style>
  <w:style w:type="character" w:customStyle="1" w:styleId="TitleChar">
    <w:name w:val="Title Char"/>
    <w:basedOn w:val="DefaultParagraphFont"/>
    <w:link w:val="Title"/>
    <w:rsid w:val="00092BD9"/>
    <w:rPr>
      <w:rFonts w:ascii="Comic Sans MS" w:eastAsia="Times New Roman" w:hAnsi="Comic Sans MS" w:cs="Times New Roman"/>
      <w:b/>
      <w:sz w:val="40"/>
      <w:szCs w:val="20"/>
    </w:rPr>
  </w:style>
  <w:style w:type="character" w:customStyle="1" w:styleId="Heading4Char">
    <w:name w:val="Heading 4 Char"/>
    <w:basedOn w:val="DefaultParagraphFont"/>
    <w:link w:val="Heading4"/>
    <w:uiPriority w:val="9"/>
    <w:semiHidden/>
    <w:rsid w:val="00E3530F"/>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E3530F"/>
    <w:pPr>
      <w:ind w:right="34"/>
      <w:jc w:val="center"/>
    </w:pPr>
    <w:rPr>
      <w:rFonts w:ascii="Swis721 BT" w:hAnsi="Swis721 BT"/>
      <w:szCs w:val="20"/>
    </w:rPr>
  </w:style>
  <w:style w:type="character" w:customStyle="1" w:styleId="BodyTextChar">
    <w:name w:val="Body Text Char"/>
    <w:basedOn w:val="DefaultParagraphFont"/>
    <w:link w:val="BodyText"/>
    <w:rsid w:val="00E3530F"/>
    <w:rPr>
      <w:rFonts w:ascii="Swis721 BT" w:eastAsia="Times New Roman" w:hAnsi="Swis721 B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www.neu.edu.tr/neuphotodays/neu1/100logoyeni.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dc:creator>
  <cp:lastModifiedBy>Faisal Sher</cp:lastModifiedBy>
  <cp:revision>13</cp:revision>
  <dcterms:created xsi:type="dcterms:W3CDTF">2015-10-06T10:34:00Z</dcterms:created>
  <dcterms:modified xsi:type="dcterms:W3CDTF">2015-11-23T13:29:00Z</dcterms:modified>
</cp:coreProperties>
</file>